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6272FF">
      <w:pPr>
        <w:pStyle w:val="a1"/>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B143F9">
        <w:rPr>
          <w:rFonts w:eastAsia="宋体"/>
          <w:lang w:eastAsia="zh-CN"/>
        </w:rPr>
        <w:t xml:space="preserve">6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FF1256" w:rsidRPr="00FF1256">
        <w:t>R4-2302373</w:t>
      </w:r>
      <w:bookmarkStart w:id="2" w:name="_GoBack"/>
      <w:bookmarkEnd w:id="2"/>
    </w:p>
    <w:p w:rsidR="00675C27" w:rsidRPr="00444A16" w:rsidRDefault="00B143F9" w:rsidP="006272FF">
      <w:pPr>
        <w:pStyle w:val="a1"/>
        <w:jc w:val="both"/>
        <w:rPr>
          <w:rFonts w:eastAsia="宋体"/>
          <w:lang w:eastAsia="zh-CN"/>
        </w:rPr>
      </w:pPr>
      <w:r w:rsidRPr="00B143F9">
        <w:rPr>
          <w:rFonts w:eastAsia="宋体"/>
          <w:lang w:eastAsia="zh-CN"/>
        </w:rPr>
        <w:t>Athens, Greece, Feb 27 – Mar 03, 2023</w:t>
      </w:r>
    </w:p>
    <w:p w:rsidR="00F71A33" w:rsidRPr="00F71A33" w:rsidRDefault="00F71A33" w:rsidP="006272FF">
      <w:pPr>
        <w:pStyle w:val="a1"/>
        <w:jc w:val="both"/>
        <w:rPr>
          <w:rFonts w:eastAsia="宋体"/>
          <w:lang w:eastAsia="zh-CN"/>
        </w:rPr>
      </w:pPr>
    </w:p>
    <w:p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5146D" w:rsidRPr="0035146D">
        <w:rPr>
          <w:rFonts w:ascii="Arial" w:hAnsi="Arial" w:cs="Arial"/>
          <w:sz w:val="22"/>
        </w:rPr>
        <w:t>On 4Rx requirements for low operating bands</w:t>
      </w:r>
    </w:p>
    <w:p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B27569" w:rsidRPr="00B27569">
        <w:rPr>
          <w:rFonts w:ascii="Arial" w:hAnsi="Arial" w:cs="Arial"/>
          <w:sz w:val="22"/>
        </w:rPr>
        <w:t>8.29.</w:t>
      </w:r>
      <w:r w:rsidR="00B27569">
        <w:rPr>
          <w:rFonts w:ascii="Arial" w:hAnsi="Arial" w:cs="Arial"/>
          <w:sz w:val="22"/>
        </w:rPr>
        <w:t>2</w:t>
      </w:r>
    </w:p>
    <w:p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6272FF">
      <w:pPr>
        <w:pStyle w:val="Heading1"/>
        <w:spacing w:after="240"/>
        <w:jc w:val="both"/>
        <w:rPr>
          <w:rFonts w:eastAsia="宋体"/>
          <w:lang w:eastAsia="zh-CN"/>
        </w:rPr>
      </w:pPr>
      <w:r>
        <w:rPr>
          <w:rFonts w:eastAsia="宋体" w:hint="eastAsia"/>
          <w:lang w:eastAsia="zh-CN"/>
        </w:rPr>
        <w:t>Introduction</w:t>
      </w:r>
    </w:p>
    <w:p w:rsidR="0057739E" w:rsidRDefault="0057739E" w:rsidP="0057739E">
      <w:pPr>
        <w:jc w:val="both"/>
      </w:pPr>
      <w:r>
        <w:t xml:space="preserve">A </w:t>
      </w:r>
      <w:r>
        <w:rPr>
          <w:rFonts w:hint="eastAsia"/>
        </w:rPr>
        <w:t>new</w:t>
      </w:r>
      <w:r>
        <w:t xml:space="preserve"> WI </w:t>
      </w:r>
      <w:r>
        <w:rPr>
          <w:rFonts w:hint="eastAsia"/>
        </w:rPr>
        <w:t>on</w:t>
      </w:r>
      <w:r>
        <w:t xml:space="preserve"> l</w:t>
      </w:r>
      <w:r w:rsidRPr="002773ED">
        <w:t>ow NR band 4Rx for handheld UE and 3Tx for inter-band UL CA and EN-DC</w:t>
      </w:r>
      <w:r>
        <w:t xml:space="preserve"> was agreed in last RAN meeting [1]. Specifically, for 3T for band combinations with two bands, it has the following objectives:</w:t>
      </w:r>
    </w:p>
    <w:p w:rsidR="0057739E" w:rsidRPr="0057739E" w:rsidRDefault="0057739E" w:rsidP="0057739E">
      <w:pPr>
        <w:spacing w:beforeLines="50" w:before="120" w:after="0"/>
        <w:rPr>
          <w:rFonts w:eastAsia="等线"/>
          <w:b/>
          <w:i/>
          <w:lang w:val="en-US"/>
        </w:rPr>
      </w:pPr>
      <w:bookmarkStart w:id="3" w:name="_Hlk122105456"/>
      <w:r w:rsidRPr="0057739E">
        <w:rPr>
          <w:rFonts w:eastAsia="等线"/>
          <w:b/>
          <w:i/>
          <w:lang w:val="en-US"/>
        </w:rPr>
        <w:t>Enhancements for 4R</w:t>
      </w:r>
      <w:r w:rsidRPr="0057739E">
        <w:rPr>
          <w:rFonts w:eastAsia="等线" w:hint="eastAsia"/>
          <w:b/>
          <w:i/>
          <w:lang w:val="en-US"/>
        </w:rPr>
        <w:t>x</w:t>
      </w:r>
      <w:r w:rsidRPr="0057739E">
        <w:rPr>
          <w:rFonts w:eastAsia="等线"/>
          <w:b/>
          <w:i/>
          <w:lang w:val="en-US"/>
        </w:rPr>
        <w:t xml:space="preserve"> at low frequency band </w:t>
      </w:r>
      <w:r w:rsidRPr="0057739E">
        <w:rPr>
          <w:rFonts w:eastAsia="等线" w:hint="eastAsia"/>
          <w:b/>
          <w:i/>
          <w:lang w:val="en-US"/>
        </w:rPr>
        <w:t>(</w:t>
      </w:r>
      <w:r w:rsidRPr="0057739E">
        <w:rPr>
          <w:rFonts w:eastAsia="等线"/>
          <w:b/>
          <w:i/>
          <w:lang w:val="en-US"/>
        </w:rPr>
        <w:t>&lt;1GHz)</w:t>
      </w:r>
    </w:p>
    <w:p w:rsidR="0057739E" w:rsidRPr="0057739E" w:rsidRDefault="0057739E" w:rsidP="0057739E">
      <w:pPr>
        <w:pStyle w:val="ListParagraph"/>
        <w:numPr>
          <w:ilvl w:val="0"/>
          <w:numId w:val="45"/>
        </w:numPr>
        <w:spacing w:beforeLines="50" w:before="120"/>
        <w:ind w:leftChars="1" w:left="422" w:firstLineChars="0"/>
        <w:rPr>
          <w:rFonts w:ascii="Times New Roman" w:hAnsi="Times New Roman"/>
          <w:i/>
          <w:sz w:val="20"/>
        </w:rPr>
      </w:pPr>
      <w:r w:rsidRPr="0057739E">
        <w:rPr>
          <w:rFonts w:ascii="Times New Roman" w:hAnsi="Times New Roman"/>
          <w:i/>
          <w:sz w:val="20"/>
          <w:lang w:eastAsia="zh-CN"/>
        </w:rPr>
        <w:t xml:space="preserve">Study </w:t>
      </w:r>
      <w:r w:rsidRPr="0057739E">
        <w:rPr>
          <w:rFonts w:ascii="Times New Roman" w:hAnsi="Times New Roman"/>
          <w:i/>
          <w:sz w:val="20"/>
          <w:u w:val="single"/>
          <w:lang w:eastAsia="zh-CN"/>
        </w:rPr>
        <w:t>if feasible</w:t>
      </w:r>
      <w:r w:rsidRPr="0057739E">
        <w:rPr>
          <w:rFonts w:ascii="Times New Roman" w:hAnsi="Times New Roman"/>
          <w:i/>
          <w:sz w:val="20"/>
          <w:lang w:eastAsia="zh-CN"/>
        </w:rPr>
        <w:t xml:space="preserve"> Specify requirements for handheld UE with 4Rx antennas including delta R</w:t>
      </w:r>
      <w:r w:rsidRPr="0057739E">
        <w:rPr>
          <w:rFonts w:ascii="Times New Roman" w:hAnsi="Times New Roman"/>
          <w:i/>
          <w:sz w:val="20"/>
          <w:vertAlign w:val="subscript"/>
          <w:lang w:eastAsia="zh-CN"/>
        </w:rPr>
        <w:t>IB,4R</w:t>
      </w:r>
      <w:r w:rsidRPr="0057739E">
        <w:rPr>
          <w:rFonts w:ascii="Times New Roman" w:hAnsi="Times New Roman"/>
          <w:i/>
          <w:sz w:val="20"/>
          <w:lang w:eastAsia="zh-CN"/>
        </w:rPr>
        <w:t xml:space="preserve"> and </w:t>
      </w:r>
      <w:r w:rsidRPr="0057739E">
        <w:rPr>
          <w:rFonts w:ascii="Times New Roman" w:hAnsi="Times New Roman"/>
          <w:i/>
          <w:sz w:val="20"/>
        </w:rPr>
        <w:t>∆</w:t>
      </w:r>
      <w:proofErr w:type="spellStart"/>
      <w:r w:rsidRPr="0057739E">
        <w:rPr>
          <w:rFonts w:ascii="Times New Roman" w:hAnsi="Times New Roman"/>
          <w:i/>
          <w:sz w:val="20"/>
        </w:rPr>
        <w:t>T</w:t>
      </w:r>
      <w:r w:rsidRPr="0057739E">
        <w:rPr>
          <w:rFonts w:ascii="Times New Roman" w:hAnsi="Times New Roman"/>
          <w:i/>
          <w:sz w:val="20"/>
          <w:vertAlign w:val="subscript"/>
        </w:rPr>
        <w:t>RxSRS</w:t>
      </w:r>
      <w:proofErr w:type="spellEnd"/>
    </w:p>
    <w:p w:rsidR="0057739E" w:rsidRPr="0057739E" w:rsidRDefault="0057739E" w:rsidP="0057739E">
      <w:pPr>
        <w:numPr>
          <w:ilvl w:val="2"/>
          <w:numId w:val="44"/>
        </w:numPr>
        <w:overflowPunct/>
        <w:autoSpaceDE/>
        <w:autoSpaceDN/>
        <w:spacing w:after="0"/>
        <w:ind w:leftChars="243" w:left="906"/>
        <w:jc w:val="both"/>
        <w:textAlignment w:val="auto"/>
        <w:rPr>
          <w:rFonts w:eastAsia="等线"/>
          <w:i/>
          <w:lang w:val="en-US"/>
        </w:rPr>
      </w:pPr>
      <w:r w:rsidRPr="0057739E">
        <w:rPr>
          <w:rFonts w:eastAsia="等线"/>
          <w:i/>
          <w:lang w:val="en-US"/>
        </w:rPr>
        <w:t>4Rx is optional feature for handheld UE in low frequency bands</w:t>
      </w:r>
    </w:p>
    <w:p w:rsidR="0057739E" w:rsidRPr="0057739E" w:rsidRDefault="0057739E" w:rsidP="0057739E">
      <w:pPr>
        <w:numPr>
          <w:ilvl w:val="2"/>
          <w:numId w:val="44"/>
        </w:numPr>
        <w:overflowPunct/>
        <w:autoSpaceDE/>
        <w:autoSpaceDN/>
        <w:spacing w:after="0"/>
        <w:ind w:leftChars="243" w:left="906"/>
        <w:jc w:val="both"/>
        <w:textAlignment w:val="auto"/>
        <w:rPr>
          <w:rFonts w:eastAsia="等线"/>
          <w:i/>
          <w:lang w:val="en-US"/>
        </w:rPr>
      </w:pPr>
      <w:r w:rsidRPr="0057739E">
        <w:rPr>
          <w:rFonts w:eastAsia="等线"/>
          <w:i/>
          <w:lang w:val="en-US"/>
        </w:rPr>
        <w:t xml:space="preserve">Signalling impact will be considered </w:t>
      </w:r>
      <w:r w:rsidRPr="0057739E">
        <w:rPr>
          <w:rFonts w:eastAsia="等线" w:hint="eastAsia"/>
          <w:i/>
          <w:lang w:val="en-US"/>
        </w:rPr>
        <w:t>if</w:t>
      </w:r>
      <w:r w:rsidRPr="0057739E">
        <w:rPr>
          <w:rFonts w:eastAsia="等线"/>
          <w:i/>
          <w:lang w:val="en-US"/>
        </w:rPr>
        <w:t xml:space="preserve"> any.</w:t>
      </w:r>
    </w:p>
    <w:bookmarkEnd w:id="3"/>
    <w:p w:rsidR="0057739E" w:rsidRDefault="0057739E" w:rsidP="0057739E">
      <w:pPr>
        <w:pStyle w:val="ListParagraph"/>
        <w:numPr>
          <w:ilvl w:val="0"/>
          <w:numId w:val="45"/>
        </w:numPr>
        <w:spacing w:beforeLines="50" w:before="120"/>
        <w:ind w:leftChars="1" w:left="422" w:firstLineChars="0"/>
        <w:rPr>
          <w:rFonts w:ascii="Times New Roman" w:hAnsi="Times New Roman"/>
          <w:i/>
          <w:sz w:val="20"/>
          <w:lang w:eastAsia="zh-CN"/>
        </w:rPr>
      </w:pPr>
      <w:r w:rsidRPr="0057739E">
        <w:rPr>
          <w:rFonts w:ascii="Times New Roman" w:hAnsi="Times New Roman"/>
          <w:i/>
          <w:sz w:val="20"/>
          <w:lang w:eastAsia="zh-CN"/>
        </w:rPr>
        <w:t>Low frequency bands considered in this WI is in table 4.1-1 with the contact information inside.</w:t>
      </w:r>
    </w:p>
    <w:p w:rsidR="0057739E" w:rsidRPr="0057739E" w:rsidRDefault="0057739E" w:rsidP="0057739E">
      <w:pPr>
        <w:spacing w:beforeLines="50" w:before="120"/>
        <w:ind w:left="2"/>
        <w:rPr>
          <w:i/>
        </w:rPr>
      </w:pPr>
      <w:r>
        <w:rPr>
          <w:lang w:val="x-none"/>
        </w:rPr>
        <w:t>This contribution provides consideration on UE RF requirements supporting 4Rx for low bands (&lt;1GHz).</w:t>
      </w:r>
    </w:p>
    <w:p w:rsidR="00062E8E" w:rsidRDefault="00062E8E" w:rsidP="0057739E">
      <w:pPr>
        <w:pStyle w:val="Heading1"/>
        <w:spacing w:after="240"/>
        <w:jc w:val="both"/>
        <w:rPr>
          <w:rFonts w:eastAsia="宋体"/>
          <w:lang w:eastAsia="zh-CN"/>
        </w:rPr>
      </w:pPr>
      <w:r>
        <w:rPr>
          <w:rFonts w:eastAsia="宋体" w:hint="eastAsia"/>
          <w:lang w:eastAsia="zh-CN"/>
        </w:rPr>
        <w:t>Discussion</w:t>
      </w:r>
    </w:p>
    <w:p w:rsidR="005369EE" w:rsidRDefault="00AA6A7A" w:rsidP="006205D8">
      <w:pPr>
        <w:spacing w:after="0"/>
        <w:jc w:val="both"/>
        <w:rPr>
          <w:lang w:val="en-US"/>
        </w:rPr>
      </w:pPr>
      <w:r>
        <w:rPr>
          <w:rFonts w:hint="eastAsia"/>
          <w:lang w:val="en-US"/>
        </w:rPr>
        <w:t>D</w:t>
      </w:r>
      <w:r>
        <w:rPr>
          <w:lang w:val="en-US"/>
        </w:rPr>
        <w:t xml:space="preserve">uring the discussion of </w:t>
      </w:r>
      <w:r w:rsidR="006205D8">
        <w:rPr>
          <w:lang w:val="en-US"/>
        </w:rPr>
        <w:t xml:space="preserve">the 4Rx objective in RAN#98e, there is a parallel new WI specific to 4Rx is also under discussion [2]. In the end, for operating bands lower than 1GHz, the objectives are split among the two </w:t>
      </w:r>
      <w:proofErr w:type="spellStart"/>
      <w:r w:rsidR="006205D8">
        <w:rPr>
          <w:lang w:val="en-US"/>
        </w:rPr>
        <w:t>WIs.</w:t>
      </w:r>
      <w:proofErr w:type="spellEnd"/>
      <w:r w:rsidR="006205D8">
        <w:rPr>
          <w:lang w:val="en-US"/>
        </w:rPr>
        <w:t xml:space="preserve"> The objective in [2] is copied as below:</w:t>
      </w:r>
    </w:p>
    <w:p w:rsidR="001A5448" w:rsidRPr="001A5448" w:rsidRDefault="001A5448" w:rsidP="001A5448">
      <w:pPr>
        <w:pStyle w:val="ListParagraph"/>
        <w:numPr>
          <w:ilvl w:val="0"/>
          <w:numId w:val="45"/>
        </w:numPr>
        <w:spacing w:beforeLines="50" w:before="120"/>
        <w:ind w:leftChars="1" w:left="422" w:firstLineChars="0"/>
        <w:rPr>
          <w:rFonts w:ascii="Times New Roman" w:hAnsi="Times New Roman"/>
          <w:i/>
          <w:sz w:val="20"/>
          <w:lang w:eastAsia="zh-CN"/>
        </w:rPr>
      </w:pPr>
      <w:r w:rsidRPr="001A5448">
        <w:rPr>
          <w:rFonts w:ascii="Times New Roman" w:hAnsi="Times New Roman"/>
          <w:i/>
          <w:sz w:val="20"/>
          <w:lang w:eastAsia="zh-CN"/>
        </w:rPr>
        <w:t xml:space="preserve">Specify the </w:t>
      </w:r>
      <w:r w:rsidRPr="001A5448">
        <w:rPr>
          <w:rFonts w:ascii="Times New Roman" w:hAnsi="Times New Roman" w:hint="eastAsia"/>
          <w:i/>
          <w:sz w:val="20"/>
          <w:lang w:eastAsia="zh-CN"/>
        </w:rPr>
        <w:t xml:space="preserve">4Rx REFSENS requirement for NR FR1 bands </w:t>
      </w:r>
    </w:p>
    <w:p w:rsidR="001A5448" w:rsidRPr="001A5448" w:rsidRDefault="001A5448" w:rsidP="001A5448">
      <w:pPr>
        <w:numPr>
          <w:ilvl w:val="2"/>
          <w:numId w:val="44"/>
        </w:numPr>
        <w:overflowPunct/>
        <w:autoSpaceDE/>
        <w:autoSpaceDN/>
        <w:spacing w:after="0"/>
        <w:ind w:leftChars="243" w:left="906"/>
        <w:jc w:val="both"/>
        <w:textAlignment w:val="auto"/>
        <w:rPr>
          <w:rFonts w:eastAsia="等线"/>
          <w:i/>
          <w:lang w:val="en-US"/>
        </w:rPr>
      </w:pPr>
      <w:r w:rsidRPr="001A5448">
        <w:rPr>
          <w:rFonts w:eastAsia="等线"/>
          <w:i/>
          <w:lang w:val="en-US"/>
        </w:rPr>
        <w:t xml:space="preserve">Support of 4Rx for the bands </w:t>
      </w:r>
      <w:r w:rsidRPr="001A5448">
        <w:rPr>
          <w:rFonts w:eastAsia="等线" w:hint="eastAsia"/>
          <w:i/>
          <w:lang w:val="en-US"/>
        </w:rPr>
        <w:t xml:space="preserve">&lt;2.6GHz </w:t>
      </w:r>
      <w:r w:rsidRPr="001A5448">
        <w:rPr>
          <w:rFonts w:eastAsia="等线"/>
          <w:i/>
          <w:lang w:val="en-US"/>
        </w:rPr>
        <w:t>added in this WI is optional</w:t>
      </w:r>
    </w:p>
    <w:p w:rsidR="001A5448" w:rsidRPr="001A5448" w:rsidRDefault="001A5448" w:rsidP="001A5448">
      <w:pPr>
        <w:numPr>
          <w:ilvl w:val="2"/>
          <w:numId w:val="44"/>
        </w:numPr>
        <w:overflowPunct/>
        <w:autoSpaceDE/>
        <w:autoSpaceDN/>
        <w:spacing w:after="0"/>
        <w:ind w:leftChars="243" w:left="906"/>
        <w:jc w:val="both"/>
        <w:textAlignment w:val="auto"/>
        <w:rPr>
          <w:rFonts w:eastAsia="等线"/>
          <w:i/>
          <w:lang w:val="en-US"/>
        </w:rPr>
      </w:pPr>
      <w:r w:rsidRPr="001A5448">
        <w:rPr>
          <w:rFonts w:eastAsia="等线" w:hint="eastAsia"/>
          <w:i/>
          <w:lang w:val="en-US"/>
        </w:rPr>
        <w:t xml:space="preserve">Note 1: for operating frequency less than 1GHz, only FWA is considered. </w:t>
      </w:r>
    </w:p>
    <w:p w:rsidR="001A5448" w:rsidRDefault="006205D8" w:rsidP="006205D8">
      <w:pPr>
        <w:spacing w:beforeLines="50" w:before="120"/>
        <w:jc w:val="both"/>
      </w:pPr>
      <w:r>
        <w:rPr>
          <w:rFonts w:hint="eastAsia"/>
        </w:rPr>
        <w:t>F</w:t>
      </w:r>
      <w:r>
        <w:t xml:space="preserve">rom the above objective, it is noted that no matter what the outcome could be from the feasibility study, at least 4Rx requirements specific to FWA for sub-1GHz bands will be defined. </w:t>
      </w:r>
    </w:p>
    <w:p w:rsidR="00696FBF" w:rsidRDefault="00696FBF" w:rsidP="00696FBF">
      <w:pPr>
        <w:jc w:val="both"/>
        <w:rPr>
          <w:b/>
          <w:i/>
          <w:lang w:val="en-US" w:eastAsia="en-US"/>
        </w:rPr>
      </w:pPr>
      <w:bookmarkStart w:id="4" w:name="OLE_LINK12"/>
      <w:r>
        <w:rPr>
          <w:b/>
          <w:i/>
          <w:lang w:val="en-US" w:eastAsia="en-US"/>
        </w:rPr>
        <w:t xml:space="preserve">Observation 1: For </w:t>
      </w:r>
      <w:r w:rsidR="00A008B5">
        <w:rPr>
          <w:b/>
          <w:i/>
          <w:lang w:val="en-US" w:eastAsia="en-US"/>
        </w:rPr>
        <w:t>low bands &lt;1GHz, at least 4Rx requirements targeted for FWA UE will be defined.</w:t>
      </w:r>
    </w:p>
    <w:bookmarkEnd w:id="4"/>
    <w:p w:rsidR="00696FBF" w:rsidRPr="00696FBF" w:rsidRDefault="00A008B5" w:rsidP="006205D8">
      <w:pPr>
        <w:spacing w:beforeLines="50" w:before="120"/>
        <w:jc w:val="both"/>
        <w:rPr>
          <w:lang w:val="en-US"/>
        </w:rPr>
      </w:pPr>
      <w:r>
        <w:rPr>
          <w:rFonts w:hint="eastAsia"/>
          <w:lang w:val="en-US"/>
        </w:rPr>
        <w:t>I</w:t>
      </w:r>
      <w:r>
        <w:rPr>
          <w:lang w:val="en-US"/>
        </w:rPr>
        <w:t xml:space="preserve">n the specification, for 4Rx, we do have different requirements for different UE types. Table below is copied from the specification [3]. </w:t>
      </w:r>
    </w:p>
    <w:p w:rsidR="00574DF3" w:rsidRPr="00150BC7" w:rsidRDefault="00574DF3" w:rsidP="00574DF3">
      <w:pPr>
        <w:pStyle w:val="TH"/>
        <w:rPr>
          <w:bCs/>
        </w:rPr>
      </w:pPr>
      <w:r w:rsidRPr="00A1115A">
        <w:t>Table 7.3.2-2: Four antenna port reference sensitivity allowance ΔR</w:t>
      </w:r>
      <w:r w:rsidRPr="00A1115A">
        <w:rPr>
          <w:bCs/>
          <w:vertAlign w:val="subscript"/>
        </w:rPr>
        <w:t>IB,4R</w:t>
      </w:r>
      <w:r>
        <w:rPr>
          <w:bCs/>
          <w:vertAlign w:val="subscript"/>
        </w:rPr>
        <w:t xml:space="preserve"> </w:t>
      </w:r>
      <w:r>
        <w:rPr>
          <w:bCs/>
        </w:rPr>
        <w:t>[2]</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574DF3" w:rsidRPr="00A1115A" w:rsidTr="00714237">
        <w:trPr>
          <w:jc w:val="center"/>
        </w:trPr>
        <w:tc>
          <w:tcPr>
            <w:tcW w:w="2889" w:type="dxa"/>
          </w:tcPr>
          <w:p w:rsidR="00574DF3" w:rsidRPr="00A1115A" w:rsidRDefault="00574DF3" w:rsidP="00714237">
            <w:pPr>
              <w:pStyle w:val="TAH"/>
            </w:pPr>
            <w:r w:rsidRPr="00A1115A">
              <w:t>Operating band</w:t>
            </w:r>
          </w:p>
        </w:tc>
        <w:tc>
          <w:tcPr>
            <w:tcW w:w="2970" w:type="dxa"/>
          </w:tcPr>
          <w:p w:rsidR="00574DF3" w:rsidRPr="00A1115A" w:rsidRDefault="00574DF3" w:rsidP="00714237">
            <w:pPr>
              <w:pStyle w:val="TAH"/>
            </w:pPr>
            <w:r w:rsidRPr="00A1115A">
              <w:t>ΔR</w:t>
            </w:r>
            <w:r w:rsidRPr="00A1115A">
              <w:rPr>
                <w:vertAlign w:val="subscript"/>
              </w:rPr>
              <w:t xml:space="preserve">IB,4R </w:t>
            </w:r>
            <w:r w:rsidRPr="00A1115A">
              <w:t>(dB)</w:t>
            </w:r>
          </w:p>
        </w:tc>
      </w:tr>
      <w:tr w:rsidR="00574DF3" w:rsidRPr="00A1115A" w:rsidTr="00714237">
        <w:trPr>
          <w:jc w:val="center"/>
        </w:trPr>
        <w:tc>
          <w:tcPr>
            <w:tcW w:w="2889" w:type="dxa"/>
            <w:vAlign w:val="center"/>
          </w:tcPr>
          <w:p w:rsidR="00574DF3" w:rsidRPr="00A1115A" w:rsidRDefault="00574DF3" w:rsidP="00714237">
            <w:pPr>
              <w:pStyle w:val="TAC"/>
            </w:pPr>
            <w:r>
              <w:rPr>
                <w:rFonts w:hint="eastAsia"/>
                <w:lang w:eastAsia="zh-TW"/>
              </w:rPr>
              <w:t xml:space="preserve">n8, </w:t>
            </w:r>
            <w:r w:rsidRPr="00A1115A">
              <w:t>n28, n71</w:t>
            </w:r>
            <w:r>
              <w:t>, n105</w:t>
            </w:r>
          </w:p>
        </w:tc>
        <w:tc>
          <w:tcPr>
            <w:tcW w:w="2970" w:type="dxa"/>
            <w:vAlign w:val="center"/>
          </w:tcPr>
          <w:p w:rsidR="00574DF3" w:rsidRPr="00A1115A" w:rsidRDefault="00574DF3" w:rsidP="00714237">
            <w:pPr>
              <w:pStyle w:val="TAC"/>
            </w:pPr>
            <w:r w:rsidRPr="00A1115A">
              <w:t>-2.7</w:t>
            </w:r>
            <w:r w:rsidRPr="00A1115A">
              <w:rPr>
                <w:vertAlign w:val="superscript"/>
              </w:rPr>
              <w:t>1</w:t>
            </w:r>
          </w:p>
        </w:tc>
      </w:tr>
      <w:tr w:rsidR="00574DF3" w:rsidRPr="00A1115A" w:rsidTr="00714237">
        <w:trPr>
          <w:jc w:val="center"/>
        </w:trPr>
        <w:tc>
          <w:tcPr>
            <w:tcW w:w="2889" w:type="dxa"/>
            <w:vAlign w:val="center"/>
          </w:tcPr>
          <w:p w:rsidR="00574DF3" w:rsidRPr="00A1115A" w:rsidRDefault="00574DF3" w:rsidP="00714237">
            <w:pPr>
              <w:pStyle w:val="TAC"/>
            </w:pPr>
            <w:r w:rsidRPr="00A1115A">
              <w:t>n1, n2, n3, n30, n40, n7,</w:t>
            </w:r>
            <w:r w:rsidRPr="00A1115A">
              <w:rPr>
                <w:rFonts w:eastAsia="Calibri"/>
              </w:rPr>
              <w:t xml:space="preserve"> n34, n38, n39, n41, n66, n70</w:t>
            </w:r>
          </w:p>
        </w:tc>
        <w:tc>
          <w:tcPr>
            <w:tcW w:w="2970" w:type="dxa"/>
            <w:vAlign w:val="center"/>
          </w:tcPr>
          <w:p w:rsidR="00574DF3" w:rsidRPr="00A1115A" w:rsidRDefault="00574DF3" w:rsidP="00714237">
            <w:pPr>
              <w:pStyle w:val="TAC"/>
            </w:pPr>
            <w:r w:rsidRPr="00A1115A">
              <w:t>-2.7</w:t>
            </w:r>
          </w:p>
        </w:tc>
      </w:tr>
      <w:tr w:rsidR="00574DF3" w:rsidRPr="00A1115A" w:rsidTr="00714237">
        <w:trPr>
          <w:jc w:val="center"/>
        </w:trPr>
        <w:tc>
          <w:tcPr>
            <w:tcW w:w="2889" w:type="dxa"/>
            <w:vAlign w:val="center"/>
          </w:tcPr>
          <w:p w:rsidR="00574DF3" w:rsidRPr="00A1115A" w:rsidRDefault="00574DF3" w:rsidP="00714237">
            <w:pPr>
              <w:pStyle w:val="TAC"/>
              <w:rPr>
                <w:rFonts w:eastAsia="Calibri"/>
              </w:rPr>
            </w:pPr>
            <w:r w:rsidRPr="00A1115A">
              <w:rPr>
                <w:rFonts w:eastAsia="Calibri"/>
              </w:rPr>
              <w:t>n48, n77, n78, n79</w:t>
            </w:r>
            <w:r>
              <w:rPr>
                <w:rFonts w:eastAsia="Calibri"/>
              </w:rPr>
              <w:t>, n104</w:t>
            </w:r>
          </w:p>
        </w:tc>
        <w:tc>
          <w:tcPr>
            <w:tcW w:w="2970" w:type="dxa"/>
            <w:vAlign w:val="center"/>
          </w:tcPr>
          <w:p w:rsidR="00574DF3" w:rsidRPr="00A1115A" w:rsidRDefault="00574DF3" w:rsidP="00714237">
            <w:pPr>
              <w:pStyle w:val="TAC"/>
            </w:pPr>
            <w:r w:rsidRPr="00A1115A">
              <w:t>-2.2</w:t>
            </w:r>
          </w:p>
        </w:tc>
      </w:tr>
      <w:tr w:rsidR="00574DF3" w:rsidRPr="00A1115A" w:rsidTr="00714237">
        <w:trPr>
          <w:jc w:val="center"/>
        </w:trPr>
        <w:tc>
          <w:tcPr>
            <w:tcW w:w="5859" w:type="dxa"/>
            <w:gridSpan w:val="2"/>
            <w:vAlign w:val="center"/>
          </w:tcPr>
          <w:p w:rsidR="00574DF3" w:rsidRPr="00A1115A" w:rsidRDefault="00574DF3" w:rsidP="00714237">
            <w:pPr>
              <w:pStyle w:val="TAC"/>
              <w:jc w:val="left"/>
            </w:pPr>
            <w:r w:rsidRPr="00A1115A">
              <w:t>NOTE 1:</w:t>
            </w:r>
            <w:r w:rsidRPr="00A1115A">
              <w:tab/>
              <w:t xml:space="preserve">4 Rx operation is targeted for </w:t>
            </w:r>
            <w:r w:rsidRPr="00592F62">
              <w:rPr>
                <w:highlight w:val="yellow"/>
              </w:rPr>
              <w:t>FWA form factor</w:t>
            </w:r>
          </w:p>
        </w:tc>
      </w:tr>
    </w:tbl>
    <w:p w:rsidR="00574DF3" w:rsidRDefault="00A008B5" w:rsidP="006205D8">
      <w:pPr>
        <w:spacing w:beforeLines="50" w:before="120"/>
        <w:jc w:val="both"/>
      </w:pPr>
      <w:r>
        <w:t>When the group discussed the 4Rx requirements, namely the delta Rib on top of REFSENS of 2Rx, the common understanding is that 3dB ideal diversity gain is not possible from implementation perspective. Interactive interference among 4 antennas due to limited antenna isolation, as well as the loss in digital domain processing, including the MRC algorithm, all w</w:t>
      </w:r>
      <w:r w:rsidR="004D6279">
        <w:t>ould</w:t>
      </w:r>
      <w:r>
        <w:t xml:space="preserve"> have impact to the available diversity gain </w:t>
      </w:r>
      <w:r w:rsidR="004D6279">
        <w:t xml:space="preserve">for 4Rx. </w:t>
      </w:r>
    </w:p>
    <w:p w:rsidR="001827A0" w:rsidRDefault="001827A0" w:rsidP="006205D8">
      <w:pPr>
        <w:spacing w:beforeLines="50" w:before="120"/>
        <w:jc w:val="both"/>
      </w:pPr>
      <w:r>
        <w:rPr>
          <w:rFonts w:hint="eastAsia"/>
        </w:rPr>
        <w:t>T</w:t>
      </w:r>
      <w:r>
        <w:t xml:space="preserve">hough we have separated requirements for different form factors in the RAN4 specification, there is no specific signalling to distinguish the UE types. In our view, the current method adopted by RAN4 is workable, i.e. if later on the </w:t>
      </w:r>
      <w:r>
        <w:lastRenderedPageBreak/>
        <w:t xml:space="preserve">feasibility of 4Rx is justified for handheld UE, additional requirements for this UE type can be defined as well, and the difference of requirements for different form factors is only reflected in the RAN4 specification. </w:t>
      </w:r>
    </w:p>
    <w:p w:rsidR="004D6279" w:rsidRDefault="004D6279" w:rsidP="004D6279">
      <w:pPr>
        <w:jc w:val="both"/>
        <w:rPr>
          <w:b/>
          <w:i/>
          <w:lang w:val="en-US" w:eastAsia="en-US"/>
        </w:rPr>
      </w:pPr>
      <w:r>
        <w:rPr>
          <w:b/>
          <w:i/>
          <w:lang w:val="en-US" w:eastAsia="en-US"/>
        </w:rPr>
        <w:t xml:space="preserve">Observation </w:t>
      </w:r>
      <w:r w:rsidR="001827A0">
        <w:rPr>
          <w:b/>
          <w:i/>
          <w:lang w:val="en-US" w:eastAsia="en-US"/>
        </w:rPr>
        <w:t>2</w:t>
      </w:r>
      <w:r>
        <w:rPr>
          <w:b/>
          <w:i/>
          <w:lang w:val="en-US" w:eastAsia="en-US"/>
        </w:rPr>
        <w:t>:</w:t>
      </w:r>
      <w:r w:rsidR="00602917">
        <w:rPr>
          <w:b/>
          <w:i/>
          <w:lang w:val="en-US" w:eastAsia="en-US"/>
        </w:rPr>
        <w:t xml:space="preserve"> </w:t>
      </w:r>
      <w:r w:rsidR="00BD6F2D">
        <w:rPr>
          <w:b/>
          <w:i/>
          <w:lang w:val="en-US" w:eastAsia="en-US"/>
        </w:rPr>
        <w:t>Different requirements can be specified for different form factors though there is no mechanism to distinguish different UE types</w:t>
      </w:r>
      <w:r>
        <w:rPr>
          <w:b/>
          <w:i/>
          <w:lang w:val="en-US" w:eastAsia="en-US"/>
        </w:rPr>
        <w:t>.</w:t>
      </w:r>
    </w:p>
    <w:p w:rsidR="00BD6F2D" w:rsidRDefault="00BD6F2D" w:rsidP="004D6279">
      <w:pPr>
        <w:jc w:val="both"/>
        <w:rPr>
          <w:b/>
          <w:i/>
          <w:lang w:val="en-US"/>
        </w:rPr>
      </w:pPr>
      <w:r>
        <w:rPr>
          <w:rFonts w:hint="eastAsia"/>
          <w:b/>
          <w:i/>
          <w:lang w:val="en-US"/>
        </w:rPr>
        <w:t>O</w:t>
      </w:r>
      <w:r>
        <w:rPr>
          <w:b/>
          <w:i/>
          <w:lang w:val="en-US"/>
        </w:rPr>
        <w:t>bservation 3: Requirements for 4Rx, i.e. delta Rib, is determined not only by antenna implementation but also digital domain processing.</w:t>
      </w:r>
    </w:p>
    <w:p w:rsidR="003E2353" w:rsidRDefault="00BE1492" w:rsidP="006272FF">
      <w:pPr>
        <w:jc w:val="both"/>
        <w:rPr>
          <w:lang w:val="en-US"/>
        </w:rPr>
      </w:pPr>
      <w:r>
        <w:rPr>
          <w:rFonts w:hint="eastAsia"/>
          <w:lang w:val="en-US"/>
        </w:rPr>
        <w:t>T</w:t>
      </w:r>
      <w:r>
        <w:rPr>
          <w:lang w:val="en-US"/>
        </w:rPr>
        <w:t xml:space="preserve">o promote the objective of 4Rx for handheld UE, some </w:t>
      </w:r>
      <w:r w:rsidR="003E2353">
        <w:rPr>
          <w:lang w:val="en-US"/>
        </w:rPr>
        <w:t xml:space="preserve">performance </w:t>
      </w:r>
      <w:r>
        <w:rPr>
          <w:lang w:val="en-US"/>
        </w:rPr>
        <w:t xml:space="preserve">measurement results </w:t>
      </w:r>
      <w:r w:rsidR="003E2353">
        <w:rPr>
          <w:lang w:val="en-US"/>
        </w:rPr>
        <w:t xml:space="preserve">were proposed in [4]. It is noted that antenna efficiency could be different among all supported antennas. In addition, antenna correlation rooted from antenna isolation in the limited space of handheld UE will definitely have impact on the performance gain brought by more supported antennas. </w:t>
      </w:r>
    </w:p>
    <w:p w:rsidR="00FC2D28" w:rsidRDefault="003E2353" w:rsidP="006272FF">
      <w:pPr>
        <w:jc w:val="both"/>
        <w:rPr>
          <w:lang w:val="en-US"/>
        </w:rPr>
      </w:pPr>
      <w:r>
        <w:rPr>
          <w:lang w:val="en-US"/>
        </w:rPr>
        <w:t>Table 1 lists roughly estimated diversity gain vs. different antenna correlation after MRC</w:t>
      </w:r>
      <w:r>
        <w:rPr>
          <w:rFonts w:hint="eastAsia"/>
          <w:lang w:val="en-US"/>
        </w:rPr>
        <w:t>.</w:t>
      </w:r>
      <w:r>
        <w:rPr>
          <w:lang w:val="en-US"/>
        </w:rPr>
        <w:t xml:space="preserve"> </w:t>
      </w:r>
    </w:p>
    <w:tbl>
      <w:tblPr>
        <w:tblW w:w="5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3"/>
        <w:gridCol w:w="2546"/>
      </w:tblGrid>
      <w:tr w:rsidR="00FC2D28" w:rsidRPr="00FC2D28" w:rsidTr="00366560">
        <w:trPr>
          <w:trHeight w:val="54"/>
          <w:jc w:val="center"/>
        </w:trPr>
        <w:tc>
          <w:tcPr>
            <w:tcW w:w="2563" w:type="dxa"/>
            <w:shd w:val="clear" w:color="auto" w:fill="auto"/>
            <w:noWrap/>
            <w:vAlign w:val="center"/>
          </w:tcPr>
          <w:p w:rsidR="00FC2D28" w:rsidRPr="00366560" w:rsidRDefault="00FC2D28" w:rsidP="00714237">
            <w:pPr>
              <w:overflowPunct/>
              <w:autoSpaceDE/>
              <w:autoSpaceDN/>
              <w:adjustRightInd/>
              <w:snapToGrid w:val="0"/>
              <w:spacing w:after="0"/>
              <w:jc w:val="center"/>
              <w:textAlignment w:val="auto"/>
              <w:rPr>
                <w:rFonts w:ascii="Arial" w:eastAsia="Arial Unicode MS" w:hAnsi="Arial" w:cs="Arial"/>
                <w:b/>
                <w:color w:val="000000"/>
                <w:sz w:val="18"/>
                <w:szCs w:val="18"/>
                <w:lang w:val="en-US"/>
              </w:rPr>
            </w:pPr>
            <w:r w:rsidRPr="00366560">
              <w:rPr>
                <w:rFonts w:ascii="Arial" w:eastAsia="Arial Unicode MS" w:hAnsi="Arial" w:cs="Arial" w:hint="eastAsia"/>
                <w:b/>
                <w:color w:val="000000"/>
                <w:sz w:val="18"/>
                <w:szCs w:val="18"/>
                <w:lang w:val="en-US"/>
              </w:rPr>
              <w:t>C</w:t>
            </w:r>
            <w:r w:rsidRPr="00366560">
              <w:rPr>
                <w:rFonts w:ascii="Arial" w:eastAsia="Arial Unicode MS" w:hAnsi="Arial" w:cs="Arial"/>
                <w:b/>
                <w:color w:val="000000"/>
                <w:sz w:val="18"/>
                <w:szCs w:val="18"/>
                <w:lang w:val="en-US"/>
              </w:rPr>
              <w:t>orrelation factor</w:t>
            </w:r>
          </w:p>
        </w:tc>
        <w:tc>
          <w:tcPr>
            <w:tcW w:w="2546" w:type="dxa"/>
            <w:shd w:val="clear" w:color="auto" w:fill="auto"/>
            <w:noWrap/>
            <w:vAlign w:val="center"/>
          </w:tcPr>
          <w:p w:rsidR="00FC2D28" w:rsidRPr="00366560" w:rsidRDefault="00FC2D28" w:rsidP="00714237">
            <w:pPr>
              <w:wordWrap w:val="0"/>
              <w:overflowPunct/>
              <w:autoSpaceDE/>
              <w:autoSpaceDN/>
              <w:adjustRightInd/>
              <w:snapToGrid w:val="0"/>
              <w:spacing w:after="0"/>
              <w:jc w:val="center"/>
              <w:textAlignment w:val="auto"/>
              <w:rPr>
                <w:rFonts w:ascii="Arial" w:hAnsi="Arial" w:cs="Arial"/>
                <w:b/>
                <w:sz w:val="18"/>
                <w:szCs w:val="18"/>
                <w:lang w:val="en-US"/>
              </w:rPr>
            </w:pPr>
            <w:r w:rsidRPr="00366560">
              <w:rPr>
                <w:rFonts w:ascii="Arial" w:hAnsi="Arial" w:cs="Arial" w:hint="eastAsia"/>
                <w:b/>
                <w:sz w:val="18"/>
                <w:szCs w:val="18"/>
                <w:lang w:val="en-US"/>
              </w:rPr>
              <w:t>D</w:t>
            </w:r>
            <w:r w:rsidRPr="00366560">
              <w:rPr>
                <w:rFonts w:ascii="Arial" w:hAnsi="Arial" w:cs="Arial"/>
                <w:b/>
                <w:sz w:val="18"/>
                <w:szCs w:val="18"/>
                <w:lang w:val="en-US"/>
              </w:rPr>
              <w:t>iversity gain after MRC</w:t>
            </w:r>
          </w:p>
        </w:tc>
      </w:tr>
      <w:tr w:rsidR="00FC2D28" w:rsidRPr="00FC2D28" w:rsidTr="00366560">
        <w:trPr>
          <w:trHeight w:val="54"/>
          <w:jc w:val="center"/>
        </w:trPr>
        <w:tc>
          <w:tcPr>
            <w:tcW w:w="2563" w:type="dxa"/>
            <w:shd w:val="clear" w:color="auto" w:fill="auto"/>
            <w:noWrap/>
            <w:vAlign w:val="center"/>
            <w:hideMark/>
          </w:tcPr>
          <w:p w:rsidR="00FC2D28" w:rsidRPr="00FC2D28" w:rsidRDefault="00FC2D28" w:rsidP="00714237">
            <w:pPr>
              <w:overflowPunct/>
              <w:autoSpaceDE/>
              <w:autoSpaceDN/>
              <w:adjustRightInd/>
              <w:snapToGrid w:val="0"/>
              <w:spacing w:after="0"/>
              <w:jc w:val="center"/>
              <w:textAlignment w:val="auto"/>
              <w:rPr>
                <w:rFonts w:ascii="Arial" w:eastAsia="Arial Unicode MS" w:hAnsi="Arial" w:cs="Arial"/>
                <w:color w:val="000000"/>
                <w:sz w:val="18"/>
                <w:szCs w:val="18"/>
                <w:lang w:val="en-US"/>
              </w:rPr>
            </w:pPr>
            <w:r w:rsidRPr="00FC2D28">
              <w:rPr>
                <w:rFonts w:ascii="Arial" w:eastAsia="Arial Unicode MS" w:hAnsi="Arial" w:cs="Arial"/>
                <w:color w:val="000000"/>
                <w:sz w:val="18"/>
                <w:szCs w:val="18"/>
                <w:lang w:val="en-US"/>
              </w:rPr>
              <w:t>0</w:t>
            </w:r>
          </w:p>
        </w:tc>
        <w:tc>
          <w:tcPr>
            <w:tcW w:w="2546" w:type="dxa"/>
            <w:shd w:val="clear" w:color="auto" w:fill="auto"/>
            <w:noWrap/>
            <w:vAlign w:val="center"/>
            <w:hideMark/>
          </w:tcPr>
          <w:p w:rsidR="00FC2D28" w:rsidRPr="00FC2D28" w:rsidRDefault="00FC2D28" w:rsidP="00714237">
            <w:pPr>
              <w:overflowPunct/>
              <w:autoSpaceDE/>
              <w:autoSpaceDN/>
              <w:adjustRightInd/>
              <w:snapToGrid w:val="0"/>
              <w:spacing w:after="0"/>
              <w:jc w:val="center"/>
              <w:textAlignment w:val="auto"/>
              <w:rPr>
                <w:rFonts w:ascii="Arial" w:hAnsi="Arial" w:cs="Arial"/>
                <w:sz w:val="18"/>
                <w:szCs w:val="18"/>
                <w:lang w:val="en-US"/>
              </w:rPr>
            </w:pPr>
            <w:r w:rsidRPr="00FC2D28">
              <w:rPr>
                <w:rFonts w:ascii="Arial" w:hAnsi="Arial" w:cs="Arial"/>
                <w:sz w:val="18"/>
                <w:szCs w:val="18"/>
                <w:lang w:val="en-US"/>
              </w:rPr>
              <w:t>3.0</w:t>
            </w:r>
          </w:p>
        </w:tc>
      </w:tr>
      <w:tr w:rsidR="00FC2D28" w:rsidRPr="00FC2D28" w:rsidTr="00366560">
        <w:trPr>
          <w:trHeight w:val="54"/>
          <w:jc w:val="center"/>
        </w:trPr>
        <w:tc>
          <w:tcPr>
            <w:tcW w:w="2563" w:type="dxa"/>
            <w:shd w:val="clear" w:color="auto" w:fill="auto"/>
            <w:noWrap/>
            <w:vAlign w:val="center"/>
            <w:hideMark/>
          </w:tcPr>
          <w:p w:rsidR="00FC2D28" w:rsidRPr="00FC2D28" w:rsidRDefault="00FC2D28" w:rsidP="00714237">
            <w:pPr>
              <w:overflowPunct/>
              <w:autoSpaceDE/>
              <w:autoSpaceDN/>
              <w:adjustRightInd/>
              <w:snapToGrid w:val="0"/>
              <w:spacing w:after="0"/>
              <w:jc w:val="center"/>
              <w:textAlignment w:val="auto"/>
              <w:rPr>
                <w:rFonts w:ascii="Arial" w:eastAsia="Arial Unicode MS" w:hAnsi="Arial" w:cs="Arial"/>
                <w:color w:val="000000"/>
                <w:sz w:val="18"/>
                <w:szCs w:val="18"/>
                <w:lang w:val="en-US"/>
              </w:rPr>
            </w:pPr>
            <w:r w:rsidRPr="00FC2D28">
              <w:rPr>
                <w:rFonts w:ascii="Arial" w:eastAsia="Arial Unicode MS" w:hAnsi="Arial" w:cs="Arial"/>
                <w:color w:val="000000"/>
                <w:sz w:val="18"/>
                <w:szCs w:val="18"/>
                <w:lang w:val="en-US"/>
              </w:rPr>
              <w:t>0.1</w:t>
            </w:r>
          </w:p>
        </w:tc>
        <w:tc>
          <w:tcPr>
            <w:tcW w:w="2546" w:type="dxa"/>
            <w:shd w:val="clear" w:color="auto" w:fill="auto"/>
            <w:noWrap/>
            <w:vAlign w:val="center"/>
            <w:hideMark/>
          </w:tcPr>
          <w:p w:rsidR="00FC2D28" w:rsidRPr="00FC2D28" w:rsidRDefault="00FC2D28" w:rsidP="00714237">
            <w:pPr>
              <w:overflowPunct/>
              <w:autoSpaceDE/>
              <w:autoSpaceDN/>
              <w:adjustRightInd/>
              <w:snapToGrid w:val="0"/>
              <w:spacing w:after="0"/>
              <w:jc w:val="center"/>
              <w:textAlignment w:val="auto"/>
              <w:rPr>
                <w:rFonts w:ascii="Arial" w:hAnsi="Arial" w:cs="Arial"/>
                <w:sz w:val="18"/>
                <w:szCs w:val="18"/>
                <w:lang w:val="en-US"/>
              </w:rPr>
            </w:pPr>
            <w:r w:rsidRPr="00FC2D28">
              <w:rPr>
                <w:rFonts w:ascii="Arial" w:hAnsi="Arial" w:cs="Arial"/>
                <w:sz w:val="18"/>
                <w:szCs w:val="18"/>
                <w:lang w:val="en-US"/>
              </w:rPr>
              <w:t>2.8</w:t>
            </w:r>
          </w:p>
        </w:tc>
      </w:tr>
      <w:tr w:rsidR="00FC2D28" w:rsidRPr="00FC2D28" w:rsidTr="00366560">
        <w:trPr>
          <w:trHeight w:val="102"/>
          <w:jc w:val="center"/>
        </w:trPr>
        <w:tc>
          <w:tcPr>
            <w:tcW w:w="2563" w:type="dxa"/>
            <w:shd w:val="clear" w:color="auto" w:fill="auto"/>
            <w:noWrap/>
            <w:vAlign w:val="center"/>
            <w:hideMark/>
          </w:tcPr>
          <w:p w:rsidR="00FC2D28" w:rsidRPr="00FC2D28" w:rsidRDefault="00FC2D28" w:rsidP="00714237">
            <w:pPr>
              <w:overflowPunct/>
              <w:autoSpaceDE/>
              <w:autoSpaceDN/>
              <w:adjustRightInd/>
              <w:snapToGrid w:val="0"/>
              <w:spacing w:after="0"/>
              <w:jc w:val="center"/>
              <w:textAlignment w:val="auto"/>
              <w:rPr>
                <w:rFonts w:ascii="Arial" w:eastAsia="Arial Unicode MS" w:hAnsi="Arial" w:cs="Arial"/>
                <w:color w:val="000000"/>
                <w:sz w:val="18"/>
                <w:szCs w:val="18"/>
                <w:lang w:val="en-US"/>
              </w:rPr>
            </w:pPr>
            <w:r w:rsidRPr="00FC2D28">
              <w:rPr>
                <w:rFonts w:ascii="Arial" w:eastAsia="Arial Unicode MS" w:hAnsi="Arial" w:cs="Arial"/>
                <w:color w:val="000000"/>
                <w:sz w:val="18"/>
                <w:szCs w:val="18"/>
                <w:lang w:val="en-US"/>
              </w:rPr>
              <w:t>0.2</w:t>
            </w:r>
          </w:p>
        </w:tc>
        <w:tc>
          <w:tcPr>
            <w:tcW w:w="2546" w:type="dxa"/>
            <w:shd w:val="clear" w:color="auto" w:fill="auto"/>
            <w:noWrap/>
            <w:vAlign w:val="center"/>
            <w:hideMark/>
          </w:tcPr>
          <w:p w:rsidR="00FC2D28" w:rsidRPr="00FC2D28" w:rsidRDefault="00FC2D28" w:rsidP="00714237">
            <w:pPr>
              <w:overflowPunct/>
              <w:autoSpaceDE/>
              <w:autoSpaceDN/>
              <w:adjustRightInd/>
              <w:snapToGrid w:val="0"/>
              <w:spacing w:after="0"/>
              <w:jc w:val="center"/>
              <w:textAlignment w:val="auto"/>
              <w:rPr>
                <w:rFonts w:ascii="Arial" w:hAnsi="Arial" w:cs="Arial"/>
                <w:sz w:val="18"/>
                <w:szCs w:val="18"/>
                <w:lang w:val="en-US"/>
              </w:rPr>
            </w:pPr>
            <w:r w:rsidRPr="00FC2D28">
              <w:rPr>
                <w:rFonts w:ascii="Arial" w:hAnsi="Arial" w:cs="Arial"/>
                <w:sz w:val="18"/>
                <w:szCs w:val="18"/>
                <w:lang w:val="en-US"/>
              </w:rPr>
              <w:t>2.6</w:t>
            </w:r>
          </w:p>
        </w:tc>
      </w:tr>
      <w:tr w:rsidR="00FC2D28" w:rsidRPr="00FC2D28" w:rsidTr="00366560">
        <w:trPr>
          <w:trHeight w:val="54"/>
          <w:jc w:val="center"/>
        </w:trPr>
        <w:tc>
          <w:tcPr>
            <w:tcW w:w="2563" w:type="dxa"/>
            <w:shd w:val="clear" w:color="auto" w:fill="auto"/>
            <w:noWrap/>
            <w:vAlign w:val="center"/>
            <w:hideMark/>
          </w:tcPr>
          <w:p w:rsidR="00FC2D28" w:rsidRPr="00FC2D28" w:rsidRDefault="00FC2D28" w:rsidP="00714237">
            <w:pPr>
              <w:overflowPunct/>
              <w:autoSpaceDE/>
              <w:autoSpaceDN/>
              <w:adjustRightInd/>
              <w:snapToGrid w:val="0"/>
              <w:spacing w:after="0"/>
              <w:jc w:val="center"/>
              <w:textAlignment w:val="auto"/>
              <w:rPr>
                <w:rFonts w:ascii="Arial" w:eastAsia="Arial Unicode MS" w:hAnsi="Arial" w:cs="Arial"/>
                <w:color w:val="000000"/>
                <w:sz w:val="18"/>
                <w:szCs w:val="18"/>
                <w:lang w:val="en-US"/>
              </w:rPr>
            </w:pPr>
            <w:r w:rsidRPr="00FC2D28">
              <w:rPr>
                <w:rFonts w:ascii="Arial" w:eastAsia="Arial Unicode MS" w:hAnsi="Arial" w:cs="Arial"/>
                <w:color w:val="000000"/>
                <w:sz w:val="18"/>
                <w:szCs w:val="18"/>
                <w:lang w:val="en-US"/>
              </w:rPr>
              <w:t>0.3</w:t>
            </w:r>
          </w:p>
        </w:tc>
        <w:tc>
          <w:tcPr>
            <w:tcW w:w="2546" w:type="dxa"/>
            <w:shd w:val="clear" w:color="auto" w:fill="auto"/>
            <w:noWrap/>
            <w:vAlign w:val="center"/>
            <w:hideMark/>
          </w:tcPr>
          <w:p w:rsidR="00FC2D28" w:rsidRPr="00FC2D28" w:rsidRDefault="00FC2D28" w:rsidP="00714237">
            <w:pPr>
              <w:overflowPunct/>
              <w:autoSpaceDE/>
              <w:autoSpaceDN/>
              <w:adjustRightInd/>
              <w:snapToGrid w:val="0"/>
              <w:spacing w:after="0"/>
              <w:jc w:val="center"/>
              <w:textAlignment w:val="auto"/>
              <w:rPr>
                <w:rFonts w:ascii="Arial" w:hAnsi="Arial" w:cs="Arial"/>
                <w:sz w:val="18"/>
                <w:szCs w:val="18"/>
                <w:lang w:val="en-US"/>
              </w:rPr>
            </w:pPr>
            <w:r w:rsidRPr="00FC2D28">
              <w:rPr>
                <w:rFonts w:ascii="Arial" w:hAnsi="Arial" w:cs="Arial"/>
                <w:sz w:val="18"/>
                <w:szCs w:val="18"/>
                <w:lang w:val="en-US"/>
              </w:rPr>
              <w:t>2.4</w:t>
            </w:r>
          </w:p>
        </w:tc>
      </w:tr>
      <w:tr w:rsidR="00FC2D28" w:rsidRPr="00FC2D28" w:rsidTr="00366560">
        <w:trPr>
          <w:trHeight w:val="54"/>
          <w:jc w:val="center"/>
        </w:trPr>
        <w:tc>
          <w:tcPr>
            <w:tcW w:w="2563" w:type="dxa"/>
            <w:shd w:val="clear" w:color="auto" w:fill="auto"/>
            <w:noWrap/>
            <w:vAlign w:val="center"/>
            <w:hideMark/>
          </w:tcPr>
          <w:p w:rsidR="00FC2D28" w:rsidRPr="00FC2D28" w:rsidRDefault="00FC2D28" w:rsidP="00714237">
            <w:pPr>
              <w:overflowPunct/>
              <w:autoSpaceDE/>
              <w:autoSpaceDN/>
              <w:adjustRightInd/>
              <w:snapToGrid w:val="0"/>
              <w:spacing w:after="0"/>
              <w:jc w:val="center"/>
              <w:textAlignment w:val="auto"/>
              <w:rPr>
                <w:rFonts w:ascii="Arial" w:eastAsia="Arial Unicode MS" w:hAnsi="Arial" w:cs="Arial"/>
                <w:color w:val="000000"/>
                <w:sz w:val="18"/>
                <w:szCs w:val="18"/>
                <w:lang w:val="en-US"/>
              </w:rPr>
            </w:pPr>
            <w:r w:rsidRPr="00FC2D28">
              <w:rPr>
                <w:rFonts w:ascii="Arial" w:eastAsia="Arial Unicode MS" w:hAnsi="Arial" w:cs="Arial"/>
                <w:color w:val="000000"/>
                <w:sz w:val="18"/>
                <w:szCs w:val="18"/>
                <w:lang w:val="en-US"/>
              </w:rPr>
              <w:t>0.4</w:t>
            </w:r>
          </w:p>
        </w:tc>
        <w:tc>
          <w:tcPr>
            <w:tcW w:w="2546" w:type="dxa"/>
            <w:shd w:val="clear" w:color="auto" w:fill="auto"/>
            <w:noWrap/>
            <w:vAlign w:val="center"/>
            <w:hideMark/>
          </w:tcPr>
          <w:p w:rsidR="00FC2D28" w:rsidRPr="00FC2D28" w:rsidRDefault="00FC2D28" w:rsidP="00714237">
            <w:pPr>
              <w:overflowPunct/>
              <w:autoSpaceDE/>
              <w:autoSpaceDN/>
              <w:adjustRightInd/>
              <w:snapToGrid w:val="0"/>
              <w:spacing w:after="0"/>
              <w:jc w:val="center"/>
              <w:textAlignment w:val="auto"/>
              <w:rPr>
                <w:rFonts w:ascii="Arial" w:hAnsi="Arial" w:cs="Arial"/>
                <w:sz w:val="18"/>
                <w:szCs w:val="18"/>
                <w:lang w:val="en-US"/>
              </w:rPr>
            </w:pPr>
            <w:r w:rsidRPr="00FC2D28">
              <w:rPr>
                <w:rFonts w:ascii="Arial" w:hAnsi="Arial" w:cs="Arial"/>
                <w:sz w:val="18"/>
                <w:szCs w:val="18"/>
                <w:lang w:val="en-US"/>
              </w:rPr>
              <w:t>2.2</w:t>
            </w:r>
          </w:p>
        </w:tc>
      </w:tr>
      <w:tr w:rsidR="00FC2D28" w:rsidRPr="00FC2D28" w:rsidTr="00366560">
        <w:trPr>
          <w:trHeight w:val="54"/>
          <w:jc w:val="center"/>
        </w:trPr>
        <w:tc>
          <w:tcPr>
            <w:tcW w:w="2563" w:type="dxa"/>
            <w:shd w:val="clear" w:color="auto" w:fill="auto"/>
            <w:noWrap/>
            <w:vAlign w:val="center"/>
            <w:hideMark/>
          </w:tcPr>
          <w:p w:rsidR="00FC2D28" w:rsidRPr="00FC2D28" w:rsidRDefault="00FC2D28" w:rsidP="00714237">
            <w:pPr>
              <w:overflowPunct/>
              <w:autoSpaceDE/>
              <w:autoSpaceDN/>
              <w:adjustRightInd/>
              <w:snapToGrid w:val="0"/>
              <w:spacing w:after="0"/>
              <w:jc w:val="center"/>
              <w:textAlignment w:val="auto"/>
              <w:rPr>
                <w:rFonts w:ascii="Arial" w:eastAsia="Arial Unicode MS" w:hAnsi="Arial" w:cs="Arial"/>
                <w:color w:val="000000"/>
                <w:sz w:val="18"/>
                <w:szCs w:val="18"/>
                <w:lang w:val="en-US"/>
              </w:rPr>
            </w:pPr>
            <w:r w:rsidRPr="00FC2D28">
              <w:rPr>
                <w:rFonts w:ascii="Arial" w:eastAsia="Arial Unicode MS" w:hAnsi="Arial" w:cs="Arial"/>
                <w:color w:val="000000"/>
                <w:sz w:val="18"/>
                <w:szCs w:val="18"/>
                <w:lang w:val="en-US"/>
              </w:rPr>
              <w:t>0.5</w:t>
            </w:r>
          </w:p>
        </w:tc>
        <w:tc>
          <w:tcPr>
            <w:tcW w:w="2546" w:type="dxa"/>
            <w:shd w:val="clear" w:color="auto" w:fill="auto"/>
            <w:noWrap/>
            <w:vAlign w:val="center"/>
            <w:hideMark/>
          </w:tcPr>
          <w:p w:rsidR="00FC2D28" w:rsidRPr="00FC2D28" w:rsidRDefault="00FC2D28" w:rsidP="00714237">
            <w:pPr>
              <w:overflowPunct/>
              <w:autoSpaceDE/>
              <w:autoSpaceDN/>
              <w:adjustRightInd/>
              <w:snapToGrid w:val="0"/>
              <w:spacing w:after="0"/>
              <w:jc w:val="center"/>
              <w:textAlignment w:val="auto"/>
              <w:rPr>
                <w:rFonts w:ascii="Arial" w:hAnsi="Arial" w:cs="Arial"/>
                <w:sz w:val="18"/>
                <w:szCs w:val="18"/>
                <w:lang w:val="en-US"/>
              </w:rPr>
            </w:pPr>
            <w:r w:rsidRPr="00FC2D28">
              <w:rPr>
                <w:rFonts w:ascii="Arial" w:hAnsi="Arial" w:cs="Arial"/>
                <w:sz w:val="18"/>
                <w:szCs w:val="18"/>
                <w:lang w:val="en-US"/>
              </w:rPr>
              <w:t>2.0</w:t>
            </w:r>
          </w:p>
        </w:tc>
      </w:tr>
      <w:tr w:rsidR="00FC2D28" w:rsidRPr="00FC2D28" w:rsidTr="00366560">
        <w:trPr>
          <w:trHeight w:val="54"/>
          <w:jc w:val="center"/>
        </w:trPr>
        <w:tc>
          <w:tcPr>
            <w:tcW w:w="2563" w:type="dxa"/>
            <w:shd w:val="clear" w:color="auto" w:fill="auto"/>
            <w:noWrap/>
            <w:vAlign w:val="center"/>
            <w:hideMark/>
          </w:tcPr>
          <w:p w:rsidR="00FC2D28" w:rsidRPr="00FC2D28" w:rsidRDefault="00FC2D28" w:rsidP="00714237">
            <w:pPr>
              <w:overflowPunct/>
              <w:autoSpaceDE/>
              <w:autoSpaceDN/>
              <w:adjustRightInd/>
              <w:snapToGrid w:val="0"/>
              <w:spacing w:after="0"/>
              <w:jc w:val="center"/>
              <w:textAlignment w:val="auto"/>
              <w:rPr>
                <w:rFonts w:ascii="Arial" w:eastAsia="Arial Unicode MS" w:hAnsi="Arial" w:cs="Arial"/>
                <w:color w:val="000000"/>
                <w:sz w:val="18"/>
                <w:szCs w:val="18"/>
                <w:lang w:val="en-US"/>
              </w:rPr>
            </w:pPr>
            <w:r w:rsidRPr="00FC2D28">
              <w:rPr>
                <w:rFonts w:ascii="Arial" w:eastAsia="Arial Unicode MS" w:hAnsi="Arial" w:cs="Arial"/>
                <w:color w:val="000000"/>
                <w:sz w:val="18"/>
                <w:szCs w:val="18"/>
                <w:lang w:val="en-US"/>
              </w:rPr>
              <w:t>0.6</w:t>
            </w:r>
          </w:p>
        </w:tc>
        <w:tc>
          <w:tcPr>
            <w:tcW w:w="2546" w:type="dxa"/>
            <w:shd w:val="clear" w:color="auto" w:fill="auto"/>
            <w:noWrap/>
            <w:vAlign w:val="center"/>
            <w:hideMark/>
          </w:tcPr>
          <w:p w:rsidR="00FC2D28" w:rsidRPr="00FC2D28" w:rsidRDefault="00FC2D28" w:rsidP="00714237">
            <w:pPr>
              <w:overflowPunct/>
              <w:autoSpaceDE/>
              <w:autoSpaceDN/>
              <w:adjustRightInd/>
              <w:snapToGrid w:val="0"/>
              <w:spacing w:after="0"/>
              <w:jc w:val="center"/>
              <w:textAlignment w:val="auto"/>
              <w:rPr>
                <w:rFonts w:ascii="Arial" w:hAnsi="Arial" w:cs="Arial"/>
                <w:sz w:val="18"/>
                <w:szCs w:val="18"/>
                <w:lang w:val="en-US"/>
              </w:rPr>
            </w:pPr>
            <w:r w:rsidRPr="00FC2D28">
              <w:rPr>
                <w:rFonts w:ascii="Arial" w:hAnsi="Arial" w:cs="Arial"/>
                <w:sz w:val="18"/>
                <w:szCs w:val="18"/>
                <w:lang w:val="en-US"/>
              </w:rPr>
              <w:t>1.9</w:t>
            </w:r>
          </w:p>
        </w:tc>
      </w:tr>
      <w:tr w:rsidR="00FC2D28" w:rsidRPr="00FC2D28" w:rsidTr="00366560">
        <w:trPr>
          <w:trHeight w:val="54"/>
          <w:jc w:val="center"/>
        </w:trPr>
        <w:tc>
          <w:tcPr>
            <w:tcW w:w="2563" w:type="dxa"/>
            <w:shd w:val="clear" w:color="auto" w:fill="auto"/>
            <w:noWrap/>
            <w:vAlign w:val="center"/>
            <w:hideMark/>
          </w:tcPr>
          <w:p w:rsidR="00FC2D28" w:rsidRPr="00FC2D28" w:rsidRDefault="00FC2D28" w:rsidP="00714237">
            <w:pPr>
              <w:overflowPunct/>
              <w:autoSpaceDE/>
              <w:autoSpaceDN/>
              <w:adjustRightInd/>
              <w:snapToGrid w:val="0"/>
              <w:spacing w:after="0"/>
              <w:jc w:val="center"/>
              <w:textAlignment w:val="auto"/>
              <w:rPr>
                <w:rFonts w:ascii="Arial" w:eastAsia="Arial Unicode MS" w:hAnsi="Arial" w:cs="Arial"/>
                <w:color w:val="000000"/>
                <w:sz w:val="18"/>
                <w:szCs w:val="18"/>
                <w:lang w:val="en-US"/>
              </w:rPr>
            </w:pPr>
            <w:r w:rsidRPr="00FC2D28">
              <w:rPr>
                <w:rFonts w:ascii="Arial" w:eastAsia="Arial Unicode MS" w:hAnsi="Arial" w:cs="Arial"/>
                <w:color w:val="000000"/>
                <w:sz w:val="18"/>
                <w:szCs w:val="18"/>
                <w:lang w:val="en-US"/>
              </w:rPr>
              <w:t>0.7</w:t>
            </w:r>
          </w:p>
        </w:tc>
        <w:tc>
          <w:tcPr>
            <w:tcW w:w="2546" w:type="dxa"/>
            <w:shd w:val="clear" w:color="auto" w:fill="auto"/>
            <w:noWrap/>
            <w:vAlign w:val="center"/>
            <w:hideMark/>
          </w:tcPr>
          <w:p w:rsidR="00FC2D28" w:rsidRPr="00FC2D28" w:rsidRDefault="00FC2D28" w:rsidP="00714237">
            <w:pPr>
              <w:overflowPunct/>
              <w:autoSpaceDE/>
              <w:autoSpaceDN/>
              <w:adjustRightInd/>
              <w:snapToGrid w:val="0"/>
              <w:spacing w:after="0"/>
              <w:jc w:val="center"/>
              <w:textAlignment w:val="auto"/>
              <w:rPr>
                <w:rFonts w:ascii="Arial" w:hAnsi="Arial" w:cs="Arial"/>
                <w:sz w:val="18"/>
                <w:szCs w:val="18"/>
                <w:lang w:val="en-US"/>
              </w:rPr>
            </w:pPr>
            <w:r w:rsidRPr="00FC2D28">
              <w:rPr>
                <w:rFonts w:ascii="Arial" w:hAnsi="Arial" w:cs="Arial"/>
                <w:sz w:val="18"/>
                <w:szCs w:val="18"/>
                <w:lang w:val="en-US"/>
              </w:rPr>
              <w:t>1.7</w:t>
            </w:r>
          </w:p>
        </w:tc>
      </w:tr>
      <w:tr w:rsidR="00FC2D28" w:rsidRPr="00FC2D28" w:rsidTr="00366560">
        <w:trPr>
          <w:trHeight w:val="54"/>
          <w:jc w:val="center"/>
        </w:trPr>
        <w:tc>
          <w:tcPr>
            <w:tcW w:w="2563" w:type="dxa"/>
            <w:shd w:val="clear" w:color="auto" w:fill="auto"/>
            <w:noWrap/>
            <w:vAlign w:val="center"/>
            <w:hideMark/>
          </w:tcPr>
          <w:p w:rsidR="00FC2D28" w:rsidRPr="00FC2D28" w:rsidRDefault="00FC2D28" w:rsidP="00714237">
            <w:pPr>
              <w:overflowPunct/>
              <w:autoSpaceDE/>
              <w:autoSpaceDN/>
              <w:adjustRightInd/>
              <w:snapToGrid w:val="0"/>
              <w:spacing w:after="0"/>
              <w:jc w:val="center"/>
              <w:textAlignment w:val="auto"/>
              <w:rPr>
                <w:rFonts w:ascii="Arial" w:eastAsia="Arial Unicode MS" w:hAnsi="Arial" w:cs="Arial"/>
                <w:color w:val="000000"/>
                <w:sz w:val="18"/>
                <w:szCs w:val="18"/>
                <w:lang w:val="en-US"/>
              </w:rPr>
            </w:pPr>
            <w:r w:rsidRPr="00FC2D28">
              <w:rPr>
                <w:rFonts w:ascii="Arial" w:eastAsia="Arial Unicode MS" w:hAnsi="Arial" w:cs="Arial"/>
                <w:color w:val="000000"/>
                <w:sz w:val="18"/>
                <w:szCs w:val="18"/>
                <w:lang w:val="en-US"/>
              </w:rPr>
              <w:t>0.8</w:t>
            </w:r>
          </w:p>
        </w:tc>
        <w:tc>
          <w:tcPr>
            <w:tcW w:w="2546" w:type="dxa"/>
            <w:shd w:val="clear" w:color="auto" w:fill="auto"/>
            <w:noWrap/>
            <w:vAlign w:val="center"/>
            <w:hideMark/>
          </w:tcPr>
          <w:p w:rsidR="00FC2D28" w:rsidRPr="00FC2D28" w:rsidRDefault="00FC2D28" w:rsidP="00714237">
            <w:pPr>
              <w:overflowPunct/>
              <w:autoSpaceDE/>
              <w:autoSpaceDN/>
              <w:adjustRightInd/>
              <w:snapToGrid w:val="0"/>
              <w:spacing w:after="0"/>
              <w:jc w:val="center"/>
              <w:textAlignment w:val="auto"/>
              <w:rPr>
                <w:rFonts w:ascii="Arial" w:hAnsi="Arial" w:cs="Arial"/>
                <w:sz w:val="18"/>
                <w:szCs w:val="18"/>
                <w:lang w:val="en-US"/>
              </w:rPr>
            </w:pPr>
            <w:r w:rsidRPr="00FC2D28">
              <w:rPr>
                <w:rFonts w:ascii="Arial" w:hAnsi="Arial" w:cs="Arial"/>
                <w:sz w:val="18"/>
                <w:szCs w:val="18"/>
                <w:lang w:val="en-US"/>
              </w:rPr>
              <w:t>1.5</w:t>
            </w:r>
          </w:p>
        </w:tc>
      </w:tr>
      <w:tr w:rsidR="00FC2D28" w:rsidRPr="00FC2D28" w:rsidTr="00366560">
        <w:trPr>
          <w:trHeight w:val="54"/>
          <w:jc w:val="center"/>
        </w:trPr>
        <w:tc>
          <w:tcPr>
            <w:tcW w:w="2563" w:type="dxa"/>
            <w:shd w:val="clear" w:color="auto" w:fill="auto"/>
            <w:noWrap/>
            <w:vAlign w:val="center"/>
            <w:hideMark/>
          </w:tcPr>
          <w:p w:rsidR="00FC2D28" w:rsidRPr="00FC2D28" w:rsidRDefault="00FC2D28" w:rsidP="00714237">
            <w:pPr>
              <w:overflowPunct/>
              <w:autoSpaceDE/>
              <w:autoSpaceDN/>
              <w:adjustRightInd/>
              <w:snapToGrid w:val="0"/>
              <w:spacing w:after="0"/>
              <w:jc w:val="center"/>
              <w:textAlignment w:val="auto"/>
              <w:rPr>
                <w:rFonts w:ascii="Arial" w:eastAsia="Arial Unicode MS" w:hAnsi="Arial" w:cs="Arial"/>
                <w:color w:val="000000"/>
                <w:sz w:val="18"/>
                <w:szCs w:val="18"/>
                <w:lang w:val="en-US"/>
              </w:rPr>
            </w:pPr>
            <w:r w:rsidRPr="00FC2D28">
              <w:rPr>
                <w:rFonts w:ascii="Arial" w:eastAsia="Arial Unicode MS" w:hAnsi="Arial" w:cs="Arial"/>
                <w:color w:val="000000"/>
                <w:sz w:val="18"/>
                <w:szCs w:val="18"/>
                <w:lang w:val="en-US"/>
              </w:rPr>
              <w:t>0.9</w:t>
            </w:r>
          </w:p>
        </w:tc>
        <w:tc>
          <w:tcPr>
            <w:tcW w:w="2546" w:type="dxa"/>
            <w:shd w:val="clear" w:color="auto" w:fill="auto"/>
            <w:noWrap/>
            <w:vAlign w:val="center"/>
            <w:hideMark/>
          </w:tcPr>
          <w:p w:rsidR="00FC2D28" w:rsidRPr="00FC2D28" w:rsidRDefault="00FC2D28" w:rsidP="00714237">
            <w:pPr>
              <w:overflowPunct/>
              <w:autoSpaceDE/>
              <w:autoSpaceDN/>
              <w:adjustRightInd/>
              <w:snapToGrid w:val="0"/>
              <w:spacing w:after="0"/>
              <w:jc w:val="center"/>
              <w:textAlignment w:val="auto"/>
              <w:rPr>
                <w:rFonts w:ascii="Arial" w:hAnsi="Arial" w:cs="Arial"/>
                <w:sz w:val="18"/>
                <w:szCs w:val="18"/>
                <w:lang w:val="en-US"/>
              </w:rPr>
            </w:pPr>
            <w:r w:rsidRPr="00FC2D28">
              <w:rPr>
                <w:rFonts w:ascii="Arial" w:hAnsi="Arial" w:cs="Arial"/>
                <w:sz w:val="18"/>
                <w:szCs w:val="18"/>
                <w:lang w:val="en-US"/>
              </w:rPr>
              <w:t>1.4</w:t>
            </w:r>
          </w:p>
        </w:tc>
      </w:tr>
      <w:tr w:rsidR="00FC2D28" w:rsidRPr="00FC2D28" w:rsidTr="00366560">
        <w:trPr>
          <w:trHeight w:val="54"/>
          <w:jc w:val="center"/>
        </w:trPr>
        <w:tc>
          <w:tcPr>
            <w:tcW w:w="2563" w:type="dxa"/>
            <w:shd w:val="clear" w:color="auto" w:fill="auto"/>
            <w:noWrap/>
            <w:vAlign w:val="center"/>
            <w:hideMark/>
          </w:tcPr>
          <w:p w:rsidR="00FC2D28" w:rsidRPr="00FC2D28" w:rsidRDefault="00FC2D28" w:rsidP="00714237">
            <w:pPr>
              <w:overflowPunct/>
              <w:autoSpaceDE/>
              <w:autoSpaceDN/>
              <w:adjustRightInd/>
              <w:snapToGrid w:val="0"/>
              <w:spacing w:after="0"/>
              <w:jc w:val="center"/>
              <w:textAlignment w:val="auto"/>
              <w:rPr>
                <w:rFonts w:ascii="Arial" w:eastAsia="Arial Unicode MS" w:hAnsi="Arial" w:cs="Arial"/>
                <w:color w:val="000000"/>
                <w:sz w:val="18"/>
                <w:szCs w:val="18"/>
                <w:lang w:val="en-US"/>
              </w:rPr>
            </w:pPr>
            <w:r w:rsidRPr="00FC2D28">
              <w:rPr>
                <w:rFonts w:ascii="Arial" w:eastAsia="Arial Unicode MS" w:hAnsi="Arial" w:cs="Arial"/>
                <w:color w:val="000000"/>
                <w:sz w:val="18"/>
                <w:szCs w:val="18"/>
                <w:lang w:val="en-US"/>
              </w:rPr>
              <w:t>1</w:t>
            </w:r>
          </w:p>
        </w:tc>
        <w:tc>
          <w:tcPr>
            <w:tcW w:w="2546" w:type="dxa"/>
            <w:shd w:val="clear" w:color="auto" w:fill="auto"/>
            <w:noWrap/>
            <w:vAlign w:val="center"/>
            <w:hideMark/>
          </w:tcPr>
          <w:p w:rsidR="00FC2D28" w:rsidRPr="00FC2D28" w:rsidRDefault="00FC2D28" w:rsidP="00714237">
            <w:pPr>
              <w:overflowPunct/>
              <w:autoSpaceDE/>
              <w:autoSpaceDN/>
              <w:adjustRightInd/>
              <w:snapToGrid w:val="0"/>
              <w:spacing w:after="0"/>
              <w:jc w:val="center"/>
              <w:textAlignment w:val="auto"/>
              <w:rPr>
                <w:rFonts w:ascii="Arial" w:hAnsi="Arial" w:cs="Arial"/>
                <w:sz w:val="18"/>
                <w:szCs w:val="18"/>
                <w:lang w:val="en-US"/>
              </w:rPr>
            </w:pPr>
            <w:r w:rsidRPr="00FC2D28">
              <w:rPr>
                <w:rFonts w:ascii="Arial" w:hAnsi="Arial" w:cs="Arial"/>
                <w:sz w:val="18"/>
                <w:szCs w:val="18"/>
                <w:lang w:val="en-US"/>
              </w:rPr>
              <w:t>1.2</w:t>
            </w:r>
          </w:p>
        </w:tc>
      </w:tr>
    </w:tbl>
    <w:p w:rsidR="00FC2D28" w:rsidRPr="00BB59DE" w:rsidRDefault="00BB59DE" w:rsidP="00BB59DE">
      <w:pPr>
        <w:spacing w:beforeLines="50" w:before="120"/>
        <w:jc w:val="center"/>
        <w:rPr>
          <w:rFonts w:ascii="Arial" w:hAnsi="Arial" w:cs="Arial"/>
          <w:b/>
          <w:lang w:val="en-US" w:eastAsia="en-US"/>
        </w:rPr>
      </w:pPr>
      <w:r>
        <w:rPr>
          <w:rFonts w:ascii="Arial" w:hAnsi="Arial" w:cs="Arial"/>
          <w:b/>
        </w:rPr>
        <w:t>Table 1</w:t>
      </w:r>
      <w:r w:rsidRPr="00BB59DE">
        <w:rPr>
          <w:rFonts w:ascii="Arial" w:hAnsi="Arial" w:cs="Arial"/>
          <w:b/>
        </w:rPr>
        <w:t xml:space="preserve">: </w:t>
      </w:r>
      <w:r>
        <w:rPr>
          <w:rFonts w:ascii="Arial" w:hAnsi="Arial" w:cs="Arial"/>
          <w:b/>
        </w:rPr>
        <w:t>Diversity gain vs. correction factor</w:t>
      </w:r>
    </w:p>
    <w:p w:rsidR="00BB59DE" w:rsidRDefault="003E2353" w:rsidP="009D7288">
      <w:pPr>
        <w:jc w:val="both"/>
        <w:rPr>
          <w:lang w:val="en-US"/>
        </w:rPr>
      </w:pPr>
      <w:r>
        <w:rPr>
          <w:rFonts w:hint="eastAsia"/>
          <w:lang w:val="en-US"/>
        </w:rPr>
        <w:t>A</w:t>
      </w:r>
      <w:r>
        <w:rPr>
          <w:lang w:val="en-US"/>
        </w:rPr>
        <w:t>ccording to the observation in [4] from the measurement, it says that antenna correlation could be around 0.5</w:t>
      </w:r>
      <w:r w:rsidR="009D7288">
        <w:rPr>
          <w:lang w:val="en-US"/>
        </w:rPr>
        <w:t xml:space="preserve"> for handheld UE implementation</w:t>
      </w:r>
      <w:r>
        <w:rPr>
          <w:lang w:val="en-US"/>
        </w:rPr>
        <w:t xml:space="preserve">. Even from the roughly estimated data in Table 1, it can be seen that diversity gain under such condition cannot be as good as that defined for </w:t>
      </w:r>
      <w:r w:rsidR="009D7288">
        <w:rPr>
          <w:lang w:val="en-US"/>
        </w:rPr>
        <w:t>low bands</w:t>
      </w:r>
      <w:r>
        <w:rPr>
          <w:lang w:val="en-US"/>
        </w:rPr>
        <w:t xml:space="preserve"> FWA UE in </w:t>
      </w:r>
      <w:r w:rsidR="009D7288">
        <w:rPr>
          <w:lang w:val="en-US"/>
        </w:rPr>
        <w:t>current</w:t>
      </w:r>
      <w:r>
        <w:rPr>
          <w:lang w:val="en-US"/>
        </w:rPr>
        <w:t xml:space="preserve"> spec. </w:t>
      </w:r>
    </w:p>
    <w:p w:rsidR="00E41F43" w:rsidRDefault="00E41F43" w:rsidP="00E41F43">
      <w:pPr>
        <w:jc w:val="both"/>
        <w:rPr>
          <w:b/>
          <w:i/>
          <w:lang w:val="en-US"/>
        </w:rPr>
      </w:pPr>
      <w:r w:rsidRPr="005369EE">
        <w:rPr>
          <w:b/>
          <w:i/>
          <w:lang w:val="en-US" w:eastAsia="en-US"/>
        </w:rPr>
        <w:t>Proposal</w:t>
      </w:r>
      <w:r w:rsidR="003314F9">
        <w:rPr>
          <w:b/>
          <w:i/>
          <w:lang w:val="en-US" w:eastAsia="en-US"/>
        </w:rPr>
        <w:t xml:space="preserve"> </w:t>
      </w:r>
      <w:r w:rsidRPr="005369EE">
        <w:rPr>
          <w:b/>
          <w:i/>
          <w:lang w:val="en-US" w:eastAsia="en-US"/>
        </w:rPr>
        <w:t>1:</w:t>
      </w:r>
      <w:r>
        <w:rPr>
          <w:b/>
          <w:i/>
          <w:lang w:val="en-US" w:eastAsia="en-US"/>
        </w:rPr>
        <w:t xml:space="preserve"> </w:t>
      </w:r>
      <w:r>
        <w:rPr>
          <w:rFonts w:hint="eastAsia"/>
          <w:b/>
          <w:i/>
          <w:lang w:val="en-US"/>
        </w:rPr>
        <w:t>I</w:t>
      </w:r>
      <w:r>
        <w:rPr>
          <w:b/>
          <w:i/>
          <w:lang w:val="en-US"/>
        </w:rPr>
        <w:t xml:space="preserve">t is proposed that interested companies to provide more measurement data for antenna correlation/isolation for evaluation of feasibility on 4Rx for handheld UE. </w:t>
      </w:r>
    </w:p>
    <w:p w:rsidR="003E2353" w:rsidRDefault="003E2353" w:rsidP="00E41F43">
      <w:pPr>
        <w:jc w:val="both"/>
        <w:rPr>
          <w:b/>
          <w:i/>
          <w:lang w:val="en-US"/>
        </w:rPr>
      </w:pPr>
      <w:r>
        <w:rPr>
          <w:rFonts w:hint="eastAsia"/>
          <w:b/>
          <w:i/>
          <w:lang w:val="en-US"/>
        </w:rPr>
        <w:t>P</w:t>
      </w:r>
      <w:r>
        <w:rPr>
          <w:b/>
          <w:i/>
          <w:lang w:val="en-US"/>
        </w:rPr>
        <w:t xml:space="preserve">roposal 2: It is proposed to consider both antenna implementation and digital domain processing to evaluate the possible delta Rib value for </w:t>
      </w:r>
      <w:r w:rsidR="003314F9">
        <w:rPr>
          <w:b/>
          <w:i/>
          <w:lang w:val="en-US"/>
        </w:rPr>
        <w:t xml:space="preserve">handheld UE. </w:t>
      </w:r>
    </w:p>
    <w:p w:rsidR="009D7288" w:rsidRPr="009D7288" w:rsidRDefault="009D7288" w:rsidP="00E41F43">
      <w:pPr>
        <w:jc w:val="both"/>
        <w:rPr>
          <w:lang w:val="en-US"/>
        </w:rPr>
      </w:pPr>
      <w:r>
        <w:rPr>
          <w:rFonts w:hint="eastAsia"/>
          <w:lang w:val="en-US"/>
        </w:rPr>
        <w:t>R</w:t>
      </w:r>
      <w:r>
        <w:rPr>
          <w:lang w:val="en-US"/>
        </w:rPr>
        <w:t>egarding performance gain, we noticed that an alternative proposal during RAN discussion is to enhance the antenna efficiency rather than to increase the antenna numbers</w:t>
      </w:r>
      <w:r w:rsidR="00AF4166">
        <w:rPr>
          <w:lang w:val="en-US"/>
        </w:rPr>
        <w:t xml:space="preserve"> for low operating bands</w:t>
      </w:r>
      <w:r>
        <w:rPr>
          <w:lang w:val="en-US"/>
        </w:rPr>
        <w:t xml:space="preserve">. Whether the performance gain also needs to be evaluated during the feasibility study can be further discussed in RAN4. </w:t>
      </w:r>
    </w:p>
    <w:p w:rsidR="00A33E8E" w:rsidRDefault="00A33E8E" w:rsidP="006272FF">
      <w:pPr>
        <w:pStyle w:val="Heading1"/>
        <w:spacing w:after="240"/>
        <w:jc w:val="both"/>
        <w:rPr>
          <w:rFonts w:eastAsia="宋体"/>
          <w:lang w:eastAsia="zh-CN"/>
        </w:rPr>
      </w:pPr>
      <w:r>
        <w:rPr>
          <w:rFonts w:eastAsia="宋体" w:hint="eastAsia"/>
          <w:lang w:eastAsia="zh-CN"/>
        </w:rPr>
        <w:t>Conclusion</w:t>
      </w:r>
    </w:p>
    <w:p w:rsidR="00FC30F5" w:rsidRDefault="005369EE" w:rsidP="006272FF">
      <w:pPr>
        <w:jc w:val="both"/>
      </w:pPr>
      <w:r>
        <w:t xml:space="preserve">This contribution provides </w:t>
      </w:r>
      <w:r w:rsidR="00AF4166">
        <w:t>consideration o</w:t>
      </w:r>
      <w:r w:rsidR="00AF4166" w:rsidRPr="00AF4166">
        <w:t>n 4Rx requirements for low operating bands</w:t>
      </w:r>
      <w:r w:rsidR="00AF4166">
        <w:t xml:space="preserve">. </w:t>
      </w:r>
    </w:p>
    <w:p w:rsidR="00AF4166" w:rsidRDefault="00AF4166" w:rsidP="00AF4166">
      <w:pPr>
        <w:jc w:val="both"/>
        <w:rPr>
          <w:b/>
          <w:i/>
          <w:lang w:val="en-US" w:eastAsia="en-US"/>
        </w:rPr>
      </w:pPr>
      <w:r>
        <w:rPr>
          <w:b/>
          <w:i/>
          <w:lang w:val="en-US" w:eastAsia="en-US"/>
        </w:rPr>
        <w:t>Observation 1: For low bands &lt;1GHz, at least 4Rx requirements targeted for FWA UE will be defined.</w:t>
      </w:r>
    </w:p>
    <w:p w:rsidR="00AF4166" w:rsidRDefault="00AF4166" w:rsidP="00AF4166">
      <w:pPr>
        <w:jc w:val="both"/>
        <w:rPr>
          <w:b/>
          <w:i/>
          <w:lang w:val="en-US" w:eastAsia="en-US"/>
        </w:rPr>
      </w:pPr>
      <w:r>
        <w:rPr>
          <w:b/>
          <w:i/>
          <w:lang w:val="en-US" w:eastAsia="en-US"/>
        </w:rPr>
        <w:t>Observation 2: Different requirements can be specified for different form factors though there is no mechanism to distinguish different UE types.</w:t>
      </w:r>
    </w:p>
    <w:p w:rsidR="00AF4166" w:rsidRDefault="00AF4166" w:rsidP="00AF4166">
      <w:pPr>
        <w:jc w:val="both"/>
        <w:rPr>
          <w:b/>
          <w:i/>
          <w:lang w:val="en-US"/>
        </w:rPr>
      </w:pPr>
      <w:r>
        <w:rPr>
          <w:rFonts w:hint="eastAsia"/>
          <w:b/>
          <w:i/>
          <w:lang w:val="en-US"/>
        </w:rPr>
        <w:t>O</w:t>
      </w:r>
      <w:r>
        <w:rPr>
          <w:b/>
          <w:i/>
          <w:lang w:val="en-US"/>
        </w:rPr>
        <w:t>bservation 3: Requirements for 4Rx, i.e. delta Rib, is determined not only by antenna implementation but also digital domain processing.</w:t>
      </w:r>
    </w:p>
    <w:p w:rsidR="00AF4166" w:rsidRDefault="00AF4166" w:rsidP="00AF4166">
      <w:pPr>
        <w:jc w:val="both"/>
        <w:rPr>
          <w:b/>
          <w:i/>
          <w:lang w:val="en-US"/>
        </w:rPr>
      </w:pPr>
      <w:r w:rsidRPr="005369EE">
        <w:rPr>
          <w:b/>
          <w:i/>
          <w:lang w:val="en-US" w:eastAsia="en-US"/>
        </w:rPr>
        <w:t>Proposal</w:t>
      </w:r>
      <w:r>
        <w:rPr>
          <w:b/>
          <w:i/>
          <w:lang w:val="en-US" w:eastAsia="en-US"/>
        </w:rPr>
        <w:t xml:space="preserve"> </w:t>
      </w:r>
      <w:r w:rsidRPr="005369EE">
        <w:rPr>
          <w:b/>
          <w:i/>
          <w:lang w:val="en-US" w:eastAsia="en-US"/>
        </w:rPr>
        <w:t>1:</w:t>
      </w:r>
      <w:r>
        <w:rPr>
          <w:b/>
          <w:i/>
          <w:lang w:val="en-US" w:eastAsia="en-US"/>
        </w:rPr>
        <w:t xml:space="preserve"> </w:t>
      </w:r>
      <w:r>
        <w:rPr>
          <w:rFonts w:hint="eastAsia"/>
          <w:b/>
          <w:i/>
          <w:lang w:val="en-US"/>
        </w:rPr>
        <w:t>I</w:t>
      </w:r>
      <w:r>
        <w:rPr>
          <w:b/>
          <w:i/>
          <w:lang w:val="en-US"/>
        </w:rPr>
        <w:t xml:space="preserve">t is proposed that interested companies to provide more measurement data for antenna correlation/isolation for evaluation of feasibility on 4Rx for handheld UE. </w:t>
      </w:r>
    </w:p>
    <w:p w:rsidR="00AF4166" w:rsidRDefault="00AF4166" w:rsidP="00AF4166">
      <w:pPr>
        <w:jc w:val="both"/>
        <w:rPr>
          <w:b/>
          <w:i/>
          <w:lang w:val="en-US"/>
        </w:rPr>
      </w:pPr>
      <w:r>
        <w:rPr>
          <w:rFonts w:hint="eastAsia"/>
          <w:b/>
          <w:i/>
          <w:lang w:val="en-US"/>
        </w:rPr>
        <w:t>P</w:t>
      </w:r>
      <w:r>
        <w:rPr>
          <w:b/>
          <w:i/>
          <w:lang w:val="en-US"/>
        </w:rPr>
        <w:t xml:space="preserve">roposal 2: It is proposed to consider both antenna implementation and digital domain processing to evaluate the possible delta Rib value for handheld UE. </w:t>
      </w:r>
    </w:p>
    <w:p w:rsidR="00AF4166" w:rsidRPr="00AF4166" w:rsidRDefault="00AF4166" w:rsidP="00AF4166">
      <w:pPr>
        <w:jc w:val="both"/>
        <w:rPr>
          <w:b/>
          <w:i/>
          <w:lang w:val="en-US"/>
        </w:rPr>
      </w:pPr>
    </w:p>
    <w:p w:rsidR="00B22DA6" w:rsidRDefault="00B22DA6" w:rsidP="006272FF">
      <w:pPr>
        <w:pStyle w:val="Heading1"/>
        <w:numPr>
          <w:ilvl w:val="0"/>
          <w:numId w:val="0"/>
        </w:numPr>
        <w:jc w:val="both"/>
        <w:rPr>
          <w:rFonts w:eastAsia="宋体"/>
          <w:lang w:eastAsia="zh-CN"/>
        </w:rPr>
      </w:pPr>
      <w:r>
        <w:lastRenderedPageBreak/>
        <w:t>References</w:t>
      </w:r>
    </w:p>
    <w:p w:rsidR="00E67014" w:rsidRDefault="00E67014" w:rsidP="00E67014">
      <w:pPr>
        <w:jc w:val="both"/>
        <w:rPr>
          <w:lang w:eastAsia="ja-JP"/>
        </w:rPr>
      </w:pPr>
      <w:r>
        <w:rPr>
          <w:rFonts w:hint="eastAsia"/>
        </w:rPr>
        <w:t>[1]</w:t>
      </w:r>
      <w:r>
        <w:t xml:space="preserve"> </w:t>
      </w:r>
      <w:r>
        <w:rPr>
          <w:lang w:eastAsia="ja-JP"/>
        </w:rPr>
        <w:t xml:space="preserve">RP-223517, WID: </w:t>
      </w:r>
      <w:r w:rsidRPr="002773ED">
        <w:rPr>
          <w:lang w:eastAsia="ja-JP"/>
        </w:rPr>
        <w:t>Low NR band 4Rx for handheld UE and 3Tx for inter-band UL CA and EN-DC</w:t>
      </w:r>
      <w:r>
        <w:rPr>
          <w:lang w:eastAsia="ja-JP"/>
        </w:rPr>
        <w:t>, OPPO</w:t>
      </w:r>
    </w:p>
    <w:p w:rsidR="00355387" w:rsidRDefault="00E67014" w:rsidP="006272FF">
      <w:pPr>
        <w:jc w:val="both"/>
        <w:rPr>
          <w:lang w:val="en-US"/>
        </w:rPr>
      </w:pPr>
      <w:r>
        <w:t xml:space="preserve">[2] </w:t>
      </w:r>
      <w:r w:rsidRPr="00E67014">
        <w:t>RP-223541</w:t>
      </w:r>
      <w:r>
        <w:t xml:space="preserve">, </w:t>
      </w:r>
      <w:r>
        <w:rPr>
          <w:lang w:eastAsia="zh-TW"/>
        </w:rPr>
        <w:t>New WID on 4Rx</w:t>
      </w:r>
      <w:r>
        <w:rPr>
          <w:rFonts w:hint="eastAsia"/>
          <w:lang w:val="en-US"/>
        </w:rPr>
        <w:t xml:space="preserve"> </w:t>
      </w:r>
      <w:r>
        <w:rPr>
          <w:lang w:eastAsia="zh-TW"/>
        </w:rPr>
        <w:t xml:space="preserve">support for NR </w:t>
      </w:r>
      <w:r>
        <w:rPr>
          <w:rFonts w:hint="eastAsia"/>
          <w:lang w:val="en-US"/>
        </w:rPr>
        <w:t xml:space="preserve">FR1 </w:t>
      </w:r>
      <w:r>
        <w:rPr>
          <w:lang w:eastAsia="zh-TW"/>
        </w:rPr>
        <w:t>band</w:t>
      </w:r>
      <w:r>
        <w:rPr>
          <w:rFonts w:hint="eastAsia"/>
          <w:lang w:val="en-US"/>
        </w:rPr>
        <w:t>s (&lt;2.6GHz)</w:t>
      </w:r>
      <w:r>
        <w:t xml:space="preserve"> </w:t>
      </w:r>
      <w:r>
        <w:rPr>
          <w:rFonts w:hint="eastAsia"/>
          <w:lang w:val="en-US"/>
        </w:rPr>
        <w:t>in Rel-18</w:t>
      </w:r>
      <w:r>
        <w:rPr>
          <w:lang w:val="en-US"/>
        </w:rPr>
        <w:t>, ZTE</w:t>
      </w:r>
    </w:p>
    <w:p w:rsidR="00574DF3" w:rsidRDefault="00574DF3" w:rsidP="006272FF">
      <w:pPr>
        <w:jc w:val="both"/>
      </w:pPr>
      <w:r>
        <w:rPr>
          <w:rFonts w:hint="eastAsia"/>
        </w:rPr>
        <w:t>[</w:t>
      </w:r>
      <w:r>
        <w:t>3] TS 38.101-1</w:t>
      </w:r>
    </w:p>
    <w:p w:rsidR="004D6279" w:rsidRPr="00E67014" w:rsidRDefault="004D6279" w:rsidP="006272FF">
      <w:pPr>
        <w:jc w:val="both"/>
      </w:pPr>
      <w:r>
        <w:rPr>
          <w:rFonts w:hint="eastAsia"/>
        </w:rPr>
        <w:t>[</w:t>
      </w:r>
      <w:r>
        <w:t xml:space="preserve">4] </w:t>
      </w:r>
      <w:r w:rsidRPr="004D6279">
        <w:t>RP-223026</w:t>
      </w:r>
      <w:r>
        <w:t xml:space="preserve">, </w:t>
      </w:r>
      <w:r w:rsidRPr="004D6279">
        <w:t>Motivation of low band enhancement for handheld UE</w:t>
      </w:r>
      <w:r>
        <w:t>, OPPO</w:t>
      </w:r>
    </w:p>
    <w:sectPr w:rsidR="004D6279" w:rsidRPr="00E67014"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4A39" w:rsidRDefault="00DF4A39" w:rsidP="0052762B">
      <w:r>
        <w:separator/>
      </w:r>
    </w:p>
  </w:endnote>
  <w:endnote w:type="continuationSeparator" w:id="0">
    <w:p w:rsidR="00DF4A39" w:rsidRDefault="00DF4A3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4A39" w:rsidRDefault="00DF4A39" w:rsidP="0052762B">
      <w:r>
        <w:separator/>
      </w:r>
    </w:p>
  </w:footnote>
  <w:footnote w:type="continuationSeparator" w:id="0">
    <w:p w:rsidR="00DF4A39" w:rsidRDefault="00DF4A39"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9C326E3"/>
    <w:multiLevelType w:val="hybridMultilevel"/>
    <w:tmpl w:val="15967826"/>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FF784F48">
      <w:start w:val="1"/>
      <w:numFmt w:val="bullet"/>
      <w:lvlText w:val="▪"/>
      <w:lvlJc w:val="left"/>
      <w:pPr>
        <w:ind w:left="1725"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6"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01B409C"/>
    <w:multiLevelType w:val="hybridMultilevel"/>
    <w:tmpl w:val="D97C0CE6"/>
    <w:lvl w:ilvl="0" w:tplc="01B01E00">
      <w:start w:val="1"/>
      <w:numFmt w:val="bullet"/>
      <w:lvlText w:val="•"/>
      <w:lvlJc w:val="left"/>
      <w:pPr>
        <w:ind w:left="825" w:hanging="420"/>
      </w:pPr>
      <w:rPr>
        <w:rFonts w:ascii="Times New Roman" w:hAnsi="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38"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9"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3"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F27CD9"/>
    <w:multiLevelType w:val="hybridMultilevel"/>
    <w:tmpl w:val="B9EE6A28"/>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FF784F48">
      <w:start w:val="1"/>
      <w:numFmt w:val="bullet"/>
      <w:lvlText w:val="▪"/>
      <w:lvlJc w:val="left"/>
      <w:pPr>
        <w:ind w:left="1725"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4" w:tplc="24A42058">
      <w:start w:val="2022"/>
      <w:numFmt w:val="bullet"/>
      <w:lvlText w:val="-"/>
      <w:lvlJc w:val="left"/>
      <w:pPr>
        <w:ind w:left="2145" w:hanging="420"/>
      </w:pPr>
      <w:rPr>
        <w:rFonts w:ascii="Arial" w:eastAsiaTheme="minorEastAsia" w:hAnsi="Arial" w:cs="Arial" w:hint="default"/>
      </w:r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45"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4"/>
  </w:num>
  <w:num w:numId="3">
    <w:abstractNumId w:val="29"/>
  </w:num>
  <w:num w:numId="4">
    <w:abstractNumId w:val="42"/>
  </w:num>
  <w:num w:numId="5">
    <w:abstractNumId w:val="1"/>
  </w:num>
  <w:num w:numId="6">
    <w:abstractNumId w:val="41"/>
  </w:num>
  <w:num w:numId="7">
    <w:abstractNumId w:val="17"/>
  </w:num>
  <w:num w:numId="8">
    <w:abstractNumId w:val="32"/>
  </w:num>
  <w:num w:numId="9">
    <w:abstractNumId w:val="46"/>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1"/>
  </w:num>
  <w:num w:numId="19">
    <w:abstractNumId w:val="28"/>
  </w:num>
  <w:num w:numId="20">
    <w:abstractNumId w:val="26"/>
  </w:num>
  <w:num w:numId="21">
    <w:abstractNumId w:val="14"/>
  </w:num>
  <w:num w:numId="22">
    <w:abstractNumId w:val="5"/>
  </w:num>
  <w:num w:numId="23">
    <w:abstractNumId w:val="25"/>
  </w:num>
  <w:num w:numId="24">
    <w:abstractNumId w:val="40"/>
  </w:num>
  <w:num w:numId="25">
    <w:abstractNumId w:val="8"/>
  </w:num>
  <w:num w:numId="26">
    <w:abstractNumId w:val="38"/>
  </w:num>
  <w:num w:numId="27">
    <w:abstractNumId w:val="36"/>
  </w:num>
  <w:num w:numId="28">
    <w:abstractNumId w:val="19"/>
  </w:num>
  <w:num w:numId="29">
    <w:abstractNumId w:val="45"/>
  </w:num>
  <w:num w:numId="30">
    <w:abstractNumId w:val="30"/>
  </w:num>
  <w:num w:numId="31">
    <w:abstractNumId w:val="16"/>
  </w:num>
  <w:num w:numId="32">
    <w:abstractNumId w:val="33"/>
  </w:num>
  <w:num w:numId="33">
    <w:abstractNumId w:val="6"/>
  </w:num>
  <w:num w:numId="34">
    <w:abstractNumId w:val="9"/>
  </w:num>
  <w:num w:numId="35">
    <w:abstractNumId w:val="34"/>
  </w:num>
  <w:num w:numId="36">
    <w:abstractNumId w:val="20"/>
  </w:num>
  <w:num w:numId="37">
    <w:abstractNumId w:val="7"/>
  </w:num>
  <w:num w:numId="38">
    <w:abstractNumId w:val="31"/>
  </w:num>
  <w:num w:numId="39">
    <w:abstractNumId w:val="3"/>
  </w:num>
  <w:num w:numId="40">
    <w:abstractNumId w:val="27"/>
  </w:num>
  <w:num w:numId="41">
    <w:abstractNumId w:val="15"/>
  </w:num>
  <w:num w:numId="42">
    <w:abstractNumId w:val="13"/>
  </w:num>
  <w:num w:numId="43">
    <w:abstractNumId w:val="22"/>
  </w:num>
  <w:num w:numId="44">
    <w:abstractNumId w:val="35"/>
  </w:num>
  <w:num w:numId="45">
    <w:abstractNumId w:val="37"/>
  </w:num>
  <w:num w:numId="46">
    <w:abstractNumId w:val="23"/>
  </w:num>
  <w:num w:numId="47">
    <w:abstractNumId w:val="44"/>
  </w:num>
  <w:num w:numId="48">
    <w:abstractNumId w:val="43"/>
  </w:num>
  <w:num w:numId="49">
    <w:abstractNumId w:val="18"/>
  </w:num>
  <w:num w:numId="50">
    <w:abstractNumId w:val="3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7A0"/>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48"/>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4F9"/>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46D"/>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560"/>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1DF"/>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353"/>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279"/>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E7D1F"/>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4DF3"/>
    <w:rsid w:val="00575332"/>
    <w:rsid w:val="00575F1E"/>
    <w:rsid w:val="005761F2"/>
    <w:rsid w:val="00576A85"/>
    <w:rsid w:val="0057739E"/>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917"/>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5D8"/>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6FBF"/>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288"/>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08B5"/>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A7A"/>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166"/>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569"/>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9DE"/>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6F2D"/>
    <w:rsid w:val="00BD7070"/>
    <w:rsid w:val="00BD7480"/>
    <w:rsid w:val="00BD7495"/>
    <w:rsid w:val="00BD7A85"/>
    <w:rsid w:val="00BE04C7"/>
    <w:rsid w:val="00BE0779"/>
    <w:rsid w:val="00BE1492"/>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632E"/>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4A39"/>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1F4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014"/>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2D28"/>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56"/>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4166"/>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84065883">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B89BDA-8DC1-4A01-BFED-1559674EB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99</TotalTime>
  <Pages>3</Pages>
  <Words>892</Words>
  <Characters>5089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5970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19</cp:revision>
  <cp:lastPrinted>2010-01-07T02:23:00Z</cp:lastPrinted>
  <dcterms:created xsi:type="dcterms:W3CDTF">2023-02-17T02:16:00Z</dcterms:created>
  <dcterms:modified xsi:type="dcterms:W3CDTF">2023-02-17T16:18:00Z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(3)w82oyUBDBdaL0eQqvzjP63qN4rxoDKVx83EG7DzgqgMvSjesYDbPNeOj8SDx4fTcAw8lRmuZ
5EFCO2VkzSy3TmTrhIVVHuvOa30c8EAUZtkg0CsTsBmV9T8acLlcqsvTFW5aYPV10aUlz4x/
pwPUfR8+Di0i7b+Jq7n/tCzOvMWf2utMMXR2UQBcJ4ZPFAMBtZgBqnGnDpnp8YgE0b26iK86
Me1Tx/DjyLvf/dzz17</vt:lpwstr>
  </property>
  <property fmtid="{D5CDD505-2E9C-101B-9397-08002B2CF9AE}" pid="15" name="_2015_ms_pID_725343_00">
    <vt:lpwstr>_2015_ms_pID_725343</vt:lpwstr>
  </property>
  <property fmtid="{D5CDD505-2E9C-101B-9397-08002B2CF9AE}" pid="16" name="_2015_ms_pID_7253431">
    <vt:lpwstr>oQsazCQ6XhmexE2wThEB6quEYR6g3FZLLhWwbikYTz5ntA1tqlkV2b
AroCwFd6aVBwWajOEiLb9ZmMrmqUG5wlce9YeU/45oMUrTDOQyM74RFZb2YYnR0Sp7WP74H+
cja3FeS02ffZ1yX0CoT//INWVhY2h1ClhEEmDTPqAtjtEJBJxmIhVPx8RiyXjbTXyNdzu175
1uPoBy/P+1pw4yOS5qFtct7rx/PJq6y5x78G</vt:lpwstr>
  </property>
  <property fmtid="{D5CDD505-2E9C-101B-9397-08002B2CF9AE}" pid="17" name="_2015_ms_pID_7253431_00">
    <vt:lpwstr>_2015_ms_pID_7253431</vt:lpwstr>
  </property>
  <property fmtid="{D5CDD505-2E9C-101B-9397-08002B2CF9AE}" pid="18" name="_2015_ms_pID_7253432">
    <vt:lpwstr>ZftFvdaRdyaW/lDlwDyPoFo=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